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4027F2" w14:textId="77777777" w:rsidR="00325FB4" w:rsidRDefault="00325FB4">
      <w:pPr>
        <w:spacing w:after="160" w:line="259" w:lineRule="auto"/>
      </w:pPr>
    </w:p>
    <w:p w14:paraId="643E37F3" w14:textId="77777777" w:rsidR="00325FB4" w:rsidRDefault="00325FB4">
      <w:pPr>
        <w:spacing w:after="160" w:line="259" w:lineRule="auto"/>
      </w:pPr>
    </w:p>
    <w:p w14:paraId="7BD60D49" w14:textId="56A63EB8" w:rsidR="00325FB4" w:rsidRDefault="00325FB4">
      <w:pPr>
        <w:spacing w:after="160" w:line="259" w:lineRule="auto"/>
      </w:pPr>
    </w:p>
    <w:p w14:paraId="42C0FF45" w14:textId="77777777" w:rsidR="00325FB4" w:rsidRDefault="00325FB4">
      <w:pPr>
        <w:spacing w:after="160" w:line="259" w:lineRule="auto"/>
      </w:pPr>
    </w:p>
    <w:p w14:paraId="773DA347" w14:textId="77777777" w:rsidR="00325FB4" w:rsidRDefault="00325FB4">
      <w:pPr>
        <w:spacing w:after="160" w:line="259" w:lineRule="auto"/>
      </w:pPr>
    </w:p>
    <w:p w14:paraId="30A931FA" w14:textId="77777777" w:rsidR="00325FB4" w:rsidRDefault="00325FB4">
      <w:pPr>
        <w:spacing w:after="160" w:line="259" w:lineRule="auto"/>
      </w:pPr>
    </w:p>
    <w:p w14:paraId="1F49657A" w14:textId="77777777" w:rsidR="00325FB4" w:rsidRDefault="00325FB4">
      <w:pPr>
        <w:spacing w:after="160" w:line="259" w:lineRule="auto"/>
      </w:pPr>
    </w:p>
    <w:p w14:paraId="08782FF4" w14:textId="3059F09F" w:rsidR="00C41449" w:rsidRDefault="00EB148D" w:rsidP="00A6150B">
      <w:pPr>
        <w:pStyle w:val="Heading2"/>
        <w:spacing w:before="0"/>
        <w:rPr>
          <w:rFonts w:eastAsia="Arial"/>
          <w:b/>
          <w:sz w:val="36"/>
          <w:szCs w:val="36"/>
        </w:rPr>
      </w:pPr>
      <w:r>
        <w:rPr>
          <w:rFonts w:eastAsia="Arial"/>
          <w:b/>
          <w:sz w:val="36"/>
          <w:szCs w:val="36"/>
        </w:rPr>
        <w:t xml:space="preserve">Archetypal Users—Personae non </w:t>
      </w:r>
      <w:proofErr w:type="spellStart"/>
      <w:r>
        <w:rPr>
          <w:rFonts w:eastAsia="Arial"/>
          <w:b/>
          <w:sz w:val="36"/>
          <w:szCs w:val="36"/>
        </w:rPr>
        <w:t>Gratae</w:t>
      </w:r>
      <w:proofErr w:type="spellEnd"/>
      <w:r w:rsidR="002F065E">
        <w:rPr>
          <w:rFonts w:eastAsia="Arial"/>
          <w:b/>
          <w:sz w:val="36"/>
          <w:szCs w:val="36"/>
        </w:rPr>
        <w:t xml:space="preserve"> (</w:t>
      </w:r>
      <w:proofErr w:type="spellStart"/>
      <w:r w:rsidR="002F065E">
        <w:rPr>
          <w:rFonts w:eastAsia="Arial"/>
          <w:b/>
          <w:sz w:val="36"/>
          <w:szCs w:val="36"/>
        </w:rPr>
        <w:t>PnGs</w:t>
      </w:r>
      <w:proofErr w:type="spellEnd"/>
      <w:r w:rsidR="002F065E">
        <w:rPr>
          <w:rFonts w:eastAsia="Arial"/>
          <w:b/>
          <w:sz w:val="36"/>
          <w:szCs w:val="36"/>
        </w:rPr>
        <w:t>)</w:t>
      </w:r>
      <w:r w:rsidR="00C41449" w:rsidRPr="00C41449">
        <w:rPr>
          <w:rFonts w:eastAsia="Arial"/>
          <w:b/>
          <w:sz w:val="36"/>
          <w:szCs w:val="36"/>
        </w:rPr>
        <w:t xml:space="preserve"> </w:t>
      </w:r>
      <w:r w:rsidR="00C41449">
        <w:rPr>
          <w:rFonts w:eastAsia="Arial"/>
          <w:b/>
          <w:sz w:val="36"/>
          <w:szCs w:val="36"/>
        </w:rPr>
        <w:t>Case Study</w:t>
      </w:r>
    </w:p>
    <w:p w14:paraId="7E84AE3D" w14:textId="77777777" w:rsidR="00C41449" w:rsidRDefault="00C41449" w:rsidP="00C41449">
      <w:pPr>
        <w:spacing w:after="160" w:line="259" w:lineRule="auto"/>
        <w:rPr>
          <w:rFonts w:asciiTheme="majorHAnsi" w:eastAsia="Arial" w:hAnsiTheme="majorHAnsi" w:cstheme="majorBidi"/>
          <w:b/>
          <w:color w:val="2E74B5" w:themeColor="accent1" w:themeShade="BF"/>
          <w:sz w:val="36"/>
          <w:szCs w:val="36"/>
        </w:rPr>
      </w:pPr>
    </w:p>
    <w:p w14:paraId="2120D627" w14:textId="54DB5CD1" w:rsidR="00C41449" w:rsidRPr="00C41449" w:rsidRDefault="00C41449" w:rsidP="00C41449">
      <w:pPr>
        <w:spacing w:after="160" w:line="259" w:lineRule="auto"/>
        <w:rPr>
          <w:rFonts w:asciiTheme="majorHAnsi" w:eastAsia="Arial" w:hAnsiTheme="majorHAnsi" w:cstheme="majorBidi"/>
          <w:b/>
          <w:color w:val="2E74B5" w:themeColor="accent1" w:themeShade="BF"/>
          <w:sz w:val="36"/>
          <w:szCs w:val="36"/>
        </w:rPr>
      </w:pPr>
      <w:r w:rsidRPr="00C41449">
        <w:rPr>
          <w:rFonts w:asciiTheme="majorHAnsi" w:eastAsia="Arial" w:hAnsiTheme="majorHAnsi" w:cstheme="majorBidi"/>
          <w:b/>
          <w:color w:val="2E74B5" w:themeColor="accent1" w:themeShade="BF"/>
          <w:sz w:val="36"/>
          <w:szCs w:val="36"/>
        </w:rPr>
        <w:t>Nancy R. Mead</w:t>
      </w:r>
    </w:p>
    <w:p w14:paraId="03C4649F" w14:textId="77777777" w:rsidR="00C41449" w:rsidRPr="00C41449" w:rsidRDefault="00C41449" w:rsidP="00C41449">
      <w:pPr>
        <w:spacing w:after="160" w:line="259" w:lineRule="auto"/>
        <w:rPr>
          <w:rFonts w:asciiTheme="majorHAnsi" w:eastAsia="Arial" w:hAnsiTheme="majorHAnsi" w:cstheme="majorBidi"/>
          <w:b/>
          <w:color w:val="2E74B5" w:themeColor="accent1" w:themeShade="BF"/>
          <w:sz w:val="36"/>
          <w:szCs w:val="36"/>
        </w:rPr>
      </w:pPr>
      <w:r w:rsidRPr="00C41449">
        <w:rPr>
          <w:rFonts w:asciiTheme="majorHAnsi" w:eastAsia="Arial" w:hAnsiTheme="majorHAnsi" w:cstheme="majorBidi"/>
          <w:b/>
          <w:color w:val="2E74B5" w:themeColor="accent1" w:themeShade="BF"/>
          <w:sz w:val="36"/>
          <w:szCs w:val="36"/>
        </w:rPr>
        <w:t>Forrest Shull</w:t>
      </w:r>
    </w:p>
    <w:p w14:paraId="2054E20F" w14:textId="77777777" w:rsidR="00C41449" w:rsidRPr="00C41449" w:rsidRDefault="00C41449" w:rsidP="00C41449">
      <w:pPr>
        <w:spacing w:after="160" w:line="259" w:lineRule="auto"/>
        <w:rPr>
          <w:rFonts w:asciiTheme="majorHAnsi" w:eastAsia="Arial" w:hAnsiTheme="majorHAnsi" w:cstheme="majorBidi"/>
          <w:b/>
          <w:color w:val="2E74B5" w:themeColor="accent1" w:themeShade="BF"/>
          <w:sz w:val="36"/>
          <w:szCs w:val="36"/>
        </w:rPr>
      </w:pPr>
      <w:r w:rsidRPr="00C41449">
        <w:rPr>
          <w:rFonts w:asciiTheme="majorHAnsi" w:eastAsia="Arial" w:hAnsiTheme="majorHAnsi" w:cstheme="majorBidi"/>
          <w:b/>
          <w:color w:val="2E74B5" w:themeColor="accent1" w:themeShade="BF"/>
          <w:sz w:val="36"/>
          <w:szCs w:val="36"/>
        </w:rPr>
        <w:t xml:space="preserve">Krishnamurthy </w:t>
      </w:r>
      <w:proofErr w:type="spellStart"/>
      <w:r w:rsidRPr="00C41449">
        <w:rPr>
          <w:rFonts w:asciiTheme="majorHAnsi" w:eastAsia="Arial" w:hAnsiTheme="majorHAnsi" w:cstheme="majorBidi"/>
          <w:b/>
          <w:color w:val="2E74B5" w:themeColor="accent1" w:themeShade="BF"/>
          <w:sz w:val="36"/>
          <w:szCs w:val="36"/>
        </w:rPr>
        <w:t>Vemuru</w:t>
      </w:r>
      <w:proofErr w:type="spellEnd"/>
      <w:r w:rsidRPr="00C41449">
        <w:rPr>
          <w:rFonts w:asciiTheme="majorHAnsi" w:eastAsia="Arial" w:hAnsiTheme="majorHAnsi" w:cstheme="majorBidi"/>
          <w:b/>
          <w:color w:val="2E74B5" w:themeColor="accent1" w:themeShade="BF"/>
          <w:sz w:val="36"/>
          <w:szCs w:val="36"/>
        </w:rPr>
        <w:t>, University of Virginia</w:t>
      </w:r>
    </w:p>
    <w:p w14:paraId="37133866" w14:textId="7371190F" w:rsidR="00325FB4" w:rsidRDefault="00C41449" w:rsidP="00C41449">
      <w:pPr>
        <w:spacing w:after="160" w:line="259" w:lineRule="auto"/>
      </w:pPr>
      <w:r w:rsidRPr="00C41449">
        <w:rPr>
          <w:rFonts w:asciiTheme="majorHAnsi" w:eastAsia="Arial" w:hAnsiTheme="majorHAnsi" w:cstheme="majorBidi"/>
          <w:b/>
          <w:color w:val="2E74B5" w:themeColor="accent1" w:themeShade="BF"/>
          <w:sz w:val="36"/>
          <w:szCs w:val="36"/>
        </w:rPr>
        <w:t xml:space="preserve">Ole </w:t>
      </w:r>
      <w:proofErr w:type="spellStart"/>
      <w:r w:rsidRPr="00C41449">
        <w:rPr>
          <w:rFonts w:asciiTheme="majorHAnsi" w:eastAsia="Arial" w:hAnsiTheme="majorHAnsi" w:cstheme="majorBidi"/>
          <w:b/>
          <w:color w:val="2E74B5" w:themeColor="accent1" w:themeShade="BF"/>
          <w:sz w:val="36"/>
          <w:szCs w:val="36"/>
        </w:rPr>
        <w:t>Villadsen</w:t>
      </w:r>
      <w:proofErr w:type="spellEnd"/>
      <w:r w:rsidRPr="00C41449">
        <w:rPr>
          <w:rFonts w:asciiTheme="majorHAnsi" w:eastAsia="Arial" w:hAnsiTheme="majorHAnsi" w:cstheme="majorBidi"/>
          <w:b/>
          <w:color w:val="2E74B5" w:themeColor="accent1" w:themeShade="BF"/>
          <w:sz w:val="36"/>
          <w:szCs w:val="36"/>
        </w:rPr>
        <w:t>, Carnegie Mellon University</w:t>
      </w:r>
    </w:p>
    <w:p w14:paraId="541F8030" w14:textId="77777777" w:rsidR="00325FB4" w:rsidRDefault="00325FB4">
      <w:pPr>
        <w:spacing w:after="160" w:line="259" w:lineRule="auto"/>
      </w:pPr>
    </w:p>
    <w:p w14:paraId="391A7604" w14:textId="77777777" w:rsidR="00325FB4" w:rsidRDefault="00325FB4">
      <w:pPr>
        <w:spacing w:after="160" w:line="259" w:lineRule="auto"/>
      </w:pPr>
    </w:p>
    <w:p w14:paraId="5889A98D" w14:textId="77777777" w:rsidR="00325FB4" w:rsidRDefault="00325FB4">
      <w:pPr>
        <w:spacing w:after="160" w:line="259" w:lineRule="auto"/>
      </w:pPr>
    </w:p>
    <w:p w14:paraId="42BCE6DC" w14:textId="77777777" w:rsidR="00325FB4" w:rsidRDefault="00325FB4">
      <w:pPr>
        <w:spacing w:after="160" w:line="259" w:lineRule="auto"/>
      </w:pPr>
    </w:p>
    <w:p w14:paraId="593D3F36" w14:textId="17DFDC42" w:rsidR="00325FB4" w:rsidRPr="00325FB4" w:rsidRDefault="001B7424">
      <w:pPr>
        <w:spacing w:after="160" w:line="259" w:lineRule="auto"/>
        <w:rPr>
          <w:rFonts w:asciiTheme="minorHAnsi" w:hAnsiTheme="minorHAnsi" w:cstheme="minorHAnsi"/>
          <w:b/>
          <w:bCs/>
        </w:rPr>
      </w:pPr>
      <w:r>
        <w:rPr>
          <w:rFonts w:asciiTheme="minorHAnsi" w:hAnsiTheme="minorHAnsi" w:cstheme="minorHAnsi"/>
          <w:b/>
          <w:bCs/>
        </w:rPr>
        <w:t>April</w:t>
      </w:r>
      <w:r w:rsidR="00A6150B">
        <w:rPr>
          <w:rFonts w:asciiTheme="minorHAnsi" w:hAnsiTheme="minorHAnsi" w:cstheme="minorHAnsi"/>
          <w:b/>
          <w:bCs/>
        </w:rPr>
        <w:t xml:space="preserve"> 2021</w:t>
      </w:r>
      <w:r w:rsidR="00325FB4" w:rsidRPr="00325FB4">
        <w:rPr>
          <w:rFonts w:asciiTheme="minorHAnsi" w:hAnsiTheme="minorHAnsi" w:cstheme="minorHAnsi"/>
          <w:b/>
          <w:bCs/>
        </w:rPr>
        <w:br w:type="page"/>
      </w:r>
    </w:p>
    <w:p w14:paraId="6357660E"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lastRenderedPageBreak/>
        <w:t>Copyright 2018 Carnegie Mellon University. All Rights Reserved.</w:t>
      </w:r>
    </w:p>
    <w:p w14:paraId="2AF30E90"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This material is based upon work funded and supported by the Department of Defense under Contract No. FA8702-15-D-0002 with Carnegie Mellon University for the operation of the Software Engineering Institute, a federally funded research and development center.</w:t>
      </w:r>
    </w:p>
    <w:p w14:paraId="49827E3B"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The view, opinions, and/or findings contained in this material are those of the author(s) and should not be construed as an official Government position, policy, or decision, unless designated by other documentation.</w:t>
      </w:r>
    </w:p>
    <w:p w14:paraId="2E31880F"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This report was prepared for the SEI Administrative Agent AFLCMC/AZS 5 Eglin Street Hanscom AFB, MA 01731-2100</w:t>
      </w:r>
    </w:p>
    <w:p w14:paraId="3D3D6D22"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NO WARRANTY. THIS CARNEGIE MELLON UNIVERSITY AND SOFTWARE ENGINEERING INSTITUTE MATERIAL IS FURNISHED ON AN "AS-IS" BASIS. CARNEGIE MELLON UNIVERSITY MAKES NO WARRANTIES OF ANY KIND, EITHER EXPRESSED OR IMPLIED, AS TO ANY MATTER INCLUDING, BUT NOT LIMITED TO, WARRANTY OF FITNESS FOR PURPOSE OR MERCHANTABILITY, EXCLUSIVITY, OR RESULTS OBTAINED FROM USE OF THE MATERIAL. CARNEGIE MELLON UNIVERSITY DOES NOT MAKE ANY WARRANTY OF ANY KIND WITH RESPECT TO FREEDOM FROM PATENT, TRADEMARK, OR COPYRIGHT INFRINGEMENT.</w:t>
      </w:r>
    </w:p>
    <w:p w14:paraId="78908857"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[DISTRIBUTION STATEMENT A] This material has been approved for public release and unlimited distribution.  Please see Copyright notice for non-US Government use and distribution.</w:t>
      </w:r>
    </w:p>
    <w:p w14:paraId="5BCB6D63"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 xml:space="preserve">Internal </w:t>
      </w:r>
      <w:proofErr w:type="gramStart"/>
      <w:r w:rsidRPr="002E2EBF">
        <w:rPr>
          <w:rFonts w:cs="Arial"/>
          <w:snapToGrid w:val="0"/>
          <w:sz w:val="22"/>
          <w:szCs w:val="22"/>
        </w:rPr>
        <w:t>use:*</w:t>
      </w:r>
      <w:proofErr w:type="gramEnd"/>
      <w:r w:rsidRPr="002E2EBF">
        <w:rPr>
          <w:rFonts w:cs="Arial"/>
          <w:snapToGrid w:val="0"/>
          <w:sz w:val="22"/>
          <w:szCs w:val="22"/>
        </w:rPr>
        <w:t xml:space="preserve"> Permission to reproduce this material and to prepare derivative works from this material for internal use is granted, provided the copyright and “No Warranty” statements are included with all reproductions and derivative works.</w:t>
      </w:r>
    </w:p>
    <w:p w14:paraId="26304B81"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 xml:space="preserve">External </w:t>
      </w:r>
      <w:proofErr w:type="gramStart"/>
      <w:r w:rsidRPr="002E2EBF">
        <w:rPr>
          <w:rFonts w:cs="Arial"/>
          <w:snapToGrid w:val="0"/>
          <w:sz w:val="22"/>
          <w:szCs w:val="22"/>
        </w:rPr>
        <w:t>use:*</w:t>
      </w:r>
      <w:proofErr w:type="gramEnd"/>
      <w:r w:rsidRPr="002E2EBF">
        <w:rPr>
          <w:rFonts w:cs="Arial"/>
          <w:snapToGrid w:val="0"/>
          <w:sz w:val="22"/>
          <w:szCs w:val="22"/>
        </w:rPr>
        <w:t xml:space="preserve"> This material may be reproduced in its entirety, without modification, and freely distributed in written or electronic form without requesting formal permission. Permission is required for any other external and/or commercial use. Requests for permission should be directed to the Software Engineering Institute at permission@sei.cmu.edu.</w:t>
      </w:r>
    </w:p>
    <w:p w14:paraId="25CD53DB" w14:textId="77777777" w:rsidR="00C41449" w:rsidRPr="002E2EBF" w:rsidRDefault="00C41449" w:rsidP="00C41449">
      <w:pPr>
        <w:pStyle w:val="TitlePageBack-DistributionStatement"/>
        <w:rPr>
          <w:rFonts w:cs="Arial"/>
          <w:snapToGrid w:val="0"/>
          <w:sz w:val="22"/>
          <w:szCs w:val="22"/>
        </w:rPr>
      </w:pPr>
      <w:r w:rsidRPr="002E2EBF">
        <w:rPr>
          <w:rFonts w:cs="Arial"/>
          <w:snapToGrid w:val="0"/>
          <w:sz w:val="22"/>
          <w:szCs w:val="22"/>
        </w:rPr>
        <w:t xml:space="preserve">* These restrictions do not apply to U.S. government entities. </w:t>
      </w:r>
    </w:p>
    <w:p w14:paraId="5531173C" w14:textId="77777777" w:rsidR="00A9595C" w:rsidRPr="00325FB4" w:rsidRDefault="00A9595C" w:rsidP="00A9595C">
      <w:pPr>
        <w:pStyle w:val="Heading2"/>
        <w:spacing w:before="0"/>
        <w:rPr>
          <w:rFonts w:eastAsia="Arial"/>
          <w:b/>
          <w:sz w:val="32"/>
          <w:szCs w:val="32"/>
        </w:rPr>
      </w:pPr>
    </w:p>
    <w:p w14:paraId="6165C197" w14:textId="77777777" w:rsidR="00001078" w:rsidRDefault="00001078">
      <w:pPr>
        <w:spacing w:after="160" w:line="259" w:lineRule="auto"/>
        <w:rPr>
          <w:rFonts w:asciiTheme="minorHAnsi" w:eastAsia="Arial" w:hAnsiTheme="minorHAnsi"/>
          <w:b/>
          <w:bCs/>
          <w:sz w:val="24"/>
          <w:szCs w:val="22"/>
        </w:rPr>
      </w:pPr>
      <w:r>
        <w:rPr>
          <w:rFonts w:asciiTheme="minorHAnsi" w:eastAsia="Arial" w:hAnsiTheme="minorHAnsi"/>
          <w:b/>
          <w:bCs/>
          <w:sz w:val="24"/>
          <w:szCs w:val="22"/>
        </w:rPr>
        <w:br w:type="page"/>
      </w:r>
    </w:p>
    <w:p w14:paraId="7356F03D" w14:textId="2C165884" w:rsidR="00D82BA3" w:rsidRPr="00325FB4" w:rsidRDefault="00EB148D" w:rsidP="00D82BA3">
      <w:pPr>
        <w:rPr>
          <w:rFonts w:asciiTheme="minorHAnsi" w:eastAsia="Arial" w:hAnsiTheme="minorHAnsi"/>
          <w:b/>
          <w:bCs/>
          <w:sz w:val="24"/>
          <w:szCs w:val="22"/>
        </w:rPr>
      </w:pPr>
      <w:r>
        <w:rPr>
          <w:rFonts w:asciiTheme="minorHAnsi" w:eastAsia="Arial" w:hAnsiTheme="minorHAnsi"/>
          <w:b/>
          <w:bCs/>
          <w:sz w:val="24"/>
          <w:szCs w:val="22"/>
        </w:rPr>
        <w:lastRenderedPageBreak/>
        <w:t xml:space="preserve">Archetypal Users—Personae non </w:t>
      </w:r>
      <w:proofErr w:type="spellStart"/>
      <w:r>
        <w:rPr>
          <w:rFonts w:asciiTheme="minorHAnsi" w:eastAsia="Arial" w:hAnsiTheme="minorHAnsi"/>
          <w:b/>
          <w:bCs/>
          <w:sz w:val="24"/>
          <w:szCs w:val="22"/>
        </w:rPr>
        <w:t>Gratae</w:t>
      </w:r>
      <w:proofErr w:type="spellEnd"/>
      <w:r w:rsidR="00D65A0C">
        <w:rPr>
          <w:rFonts w:asciiTheme="minorHAnsi" w:eastAsia="Arial" w:hAnsiTheme="minorHAnsi"/>
          <w:b/>
          <w:bCs/>
          <w:sz w:val="24"/>
          <w:szCs w:val="22"/>
        </w:rPr>
        <w:t xml:space="preserve"> </w:t>
      </w:r>
      <w:r w:rsidR="00C9497E">
        <w:rPr>
          <w:rFonts w:asciiTheme="minorHAnsi" w:eastAsia="Arial" w:hAnsiTheme="minorHAnsi"/>
          <w:b/>
          <w:bCs/>
          <w:sz w:val="24"/>
          <w:szCs w:val="22"/>
        </w:rPr>
        <w:t>(</w:t>
      </w:r>
      <w:proofErr w:type="spellStart"/>
      <w:r w:rsidR="00C9497E">
        <w:rPr>
          <w:rFonts w:asciiTheme="minorHAnsi" w:eastAsia="Arial" w:hAnsiTheme="minorHAnsi"/>
          <w:b/>
          <w:bCs/>
          <w:sz w:val="24"/>
          <w:szCs w:val="22"/>
        </w:rPr>
        <w:t>PnGs</w:t>
      </w:r>
      <w:proofErr w:type="spellEnd"/>
      <w:r w:rsidR="00C9497E">
        <w:rPr>
          <w:rFonts w:asciiTheme="minorHAnsi" w:eastAsia="Arial" w:hAnsiTheme="minorHAnsi"/>
          <w:b/>
          <w:bCs/>
          <w:sz w:val="24"/>
          <w:szCs w:val="22"/>
        </w:rPr>
        <w:t xml:space="preserve">) </w:t>
      </w:r>
      <w:r w:rsidR="00D65A0C">
        <w:rPr>
          <w:rFonts w:asciiTheme="minorHAnsi" w:eastAsia="Arial" w:hAnsiTheme="minorHAnsi"/>
          <w:b/>
          <w:bCs/>
          <w:sz w:val="24"/>
          <w:szCs w:val="22"/>
        </w:rPr>
        <w:t>Case</w:t>
      </w:r>
      <w:r>
        <w:rPr>
          <w:rFonts w:asciiTheme="minorHAnsi" w:eastAsia="Arial" w:hAnsiTheme="minorHAnsi"/>
          <w:b/>
          <w:bCs/>
          <w:sz w:val="24"/>
          <w:szCs w:val="22"/>
        </w:rPr>
        <w:t xml:space="preserve"> </w:t>
      </w:r>
      <w:r w:rsidR="00EA242A">
        <w:rPr>
          <w:rFonts w:asciiTheme="minorHAnsi" w:eastAsia="Arial" w:hAnsiTheme="minorHAnsi"/>
          <w:b/>
          <w:bCs/>
          <w:sz w:val="24"/>
          <w:szCs w:val="22"/>
        </w:rPr>
        <w:t>Study</w:t>
      </w:r>
    </w:p>
    <w:p w14:paraId="701E3F9A" w14:textId="537AF75F" w:rsidR="00575DC8" w:rsidRDefault="00575DC8" w:rsidP="00575DC8">
      <w:pPr>
        <w:rPr>
          <w:rFonts w:ascii="Calibri" w:hAnsi="Calibri" w:cs="Calibri"/>
          <w:b/>
          <w:color w:val="0070C0"/>
          <w:sz w:val="24"/>
          <w:szCs w:val="24"/>
        </w:rPr>
      </w:pPr>
    </w:p>
    <w:p w14:paraId="161C231D" w14:textId="6FA9ED4D" w:rsidR="00575DC8" w:rsidRPr="000E393A" w:rsidRDefault="00A6150B" w:rsidP="00185362">
      <w:pPr>
        <w:pStyle w:val="Heading3"/>
        <w:spacing w:before="0"/>
        <w:ind w:left="-4"/>
        <w:rPr>
          <w:b/>
          <w:bCs/>
        </w:rPr>
      </w:pPr>
      <w:r>
        <w:rPr>
          <w:b/>
          <w:bCs/>
        </w:rPr>
        <w:t>Background</w:t>
      </w:r>
    </w:p>
    <w:p w14:paraId="553C2FAA" w14:textId="7C31F5C3" w:rsidR="00302C43" w:rsidRDefault="00302C43" w:rsidP="00302C43">
      <w:pPr>
        <w:pStyle w:val="Heading3"/>
        <w:rPr>
          <w:rFonts w:ascii="Times New Roman" w:eastAsia="Times New Roman" w:hAnsi="Times New Roman" w:cs="Times New Roman"/>
          <w:color w:val="auto"/>
        </w:rPr>
      </w:pPr>
      <w:r>
        <w:rPr>
          <w:rFonts w:ascii="Times New Roman" w:eastAsia="Times New Roman" w:hAnsi="Times New Roman" w:cs="Times New Roman"/>
          <w:color w:val="auto"/>
        </w:rPr>
        <w:t xml:space="preserve">Personae non </w:t>
      </w:r>
      <w:proofErr w:type="spellStart"/>
      <w:r>
        <w:rPr>
          <w:rFonts w:ascii="Times New Roman" w:eastAsia="Times New Roman" w:hAnsi="Times New Roman" w:cs="Times New Roman"/>
          <w:color w:val="auto"/>
        </w:rPr>
        <w:t>Gratae</w:t>
      </w:r>
      <w:proofErr w:type="spellEnd"/>
      <w:r>
        <w:rPr>
          <w:rFonts w:ascii="Times New Roman" w:eastAsia="Times New Roman" w:hAnsi="Times New Roman" w:cs="Times New Roman"/>
          <w:color w:val="auto"/>
        </w:rPr>
        <w:t xml:space="preserve"> (</w:t>
      </w:r>
      <w:proofErr w:type="spellStart"/>
      <w:r w:rsidRPr="00302C43">
        <w:rPr>
          <w:rFonts w:ascii="Times New Roman" w:eastAsia="Times New Roman" w:hAnsi="Times New Roman" w:cs="Times New Roman"/>
          <w:color w:val="auto"/>
        </w:rPr>
        <w:t>PnGs</w:t>
      </w:r>
      <w:proofErr w:type="spellEnd"/>
      <w:r>
        <w:rPr>
          <w:rFonts w:ascii="Times New Roman" w:eastAsia="Times New Roman" w:hAnsi="Times New Roman" w:cs="Times New Roman"/>
          <w:color w:val="auto"/>
        </w:rPr>
        <w:t>)</w:t>
      </w:r>
      <w:r w:rsidRPr="00302C43">
        <w:rPr>
          <w:rFonts w:ascii="Times New Roman" w:eastAsia="Times New Roman" w:hAnsi="Times New Roman" w:cs="Times New Roman"/>
          <w:color w:val="auto"/>
        </w:rPr>
        <w:t xml:space="preserve"> represent archetypal users who behave in unwanted, possibly nefarious ways. However, like ordinary personas, </w:t>
      </w:r>
      <w:proofErr w:type="spellStart"/>
      <w:r w:rsidRPr="00302C43">
        <w:rPr>
          <w:rFonts w:ascii="Times New Roman" w:eastAsia="Times New Roman" w:hAnsi="Times New Roman" w:cs="Times New Roman"/>
          <w:color w:val="auto"/>
        </w:rPr>
        <w:t>PnGs</w:t>
      </w:r>
      <w:proofErr w:type="spellEnd"/>
      <w:r w:rsidRPr="00302C43">
        <w:rPr>
          <w:rFonts w:ascii="Times New Roman" w:eastAsia="Times New Roman" w:hAnsi="Times New Roman" w:cs="Times New Roman"/>
          <w:color w:val="auto"/>
        </w:rPr>
        <w:t xml:space="preserve"> have specific goals that they wish to achieve and specific actions that they may take to achieve their goals. Modeling </w:t>
      </w:r>
      <w:proofErr w:type="spellStart"/>
      <w:r w:rsidRPr="00302C43">
        <w:rPr>
          <w:rFonts w:ascii="Times New Roman" w:eastAsia="Times New Roman" w:hAnsi="Times New Roman" w:cs="Times New Roman"/>
          <w:color w:val="auto"/>
        </w:rPr>
        <w:t>PnGs</w:t>
      </w:r>
      <w:proofErr w:type="spellEnd"/>
      <w:r w:rsidRPr="00302C43">
        <w:rPr>
          <w:rFonts w:ascii="Times New Roman" w:eastAsia="Times New Roman" w:hAnsi="Times New Roman" w:cs="Times New Roman"/>
          <w:color w:val="auto"/>
        </w:rPr>
        <w:t xml:space="preserve"> can therefore help us to think about the ways in which a system might be vulnerable to abuse and use this information to specify appropriate mitigating requirements.</w:t>
      </w:r>
    </w:p>
    <w:p w14:paraId="1D2FCA31" w14:textId="77777777" w:rsidR="00302C43" w:rsidRPr="00302C43" w:rsidRDefault="00302C43" w:rsidP="00302C43"/>
    <w:p w14:paraId="0610E9D1" w14:textId="37517B54" w:rsidR="00566F86" w:rsidRDefault="00302C43" w:rsidP="00302C43">
      <w:pPr>
        <w:pStyle w:val="Heading3"/>
        <w:spacing w:before="0"/>
        <w:rPr>
          <w:rFonts w:ascii="Times New Roman" w:eastAsia="Times New Roman" w:hAnsi="Times New Roman" w:cs="Times New Roman"/>
          <w:color w:val="auto"/>
        </w:rPr>
      </w:pPr>
      <w:r w:rsidRPr="00302C43">
        <w:rPr>
          <w:rFonts w:ascii="Times New Roman" w:eastAsia="Times New Roman" w:hAnsi="Times New Roman" w:cs="Times New Roman"/>
          <w:color w:val="auto"/>
        </w:rPr>
        <w:t xml:space="preserve">The </w:t>
      </w:r>
      <w:proofErr w:type="spellStart"/>
      <w:r w:rsidRPr="00302C43">
        <w:rPr>
          <w:rFonts w:ascii="Times New Roman" w:eastAsia="Times New Roman" w:hAnsi="Times New Roman" w:cs="Times New Roman"/>
          <w:color w:val="auto"/>
        </w:rPr>
        <w:t>PnG</w:t>
      </w:r>
      <w:proofErr w:type="spellEnd"/>
      <w:r w:rsidRPr="00302C43">
        <w:rPr>
          <w:rFonts w:ascii="Times New Roman" w:eastAsia="Times New Roman" w:hAnsi="Times New Roman" w:cs="Times New Roman"/>
          <w:color w:val="auto"/>
        </w:rPr>
        <w:t xml:space="preserve"> approach makes threat modeling more tractable by asking users to focus on attackers, their motivations, and abilities. Once this step is completed, users are asked to brainstorm ideas about targets and likely attack mechanisms that the attackers would deploy. The theory behind this approach is that if engineers can understand what capabilities an attacker may have and what types of </w:t>
      </w:r>
      <w:r w:rsidR="007A2C66" w:rsidRPr="00302C43">
        <w:rPr>
          <w:rFonts w:ascii="Times New Roman" w:eastAsia="Times New Roman" w:hAnsi="Times New Roman" w:cs="Times New Roman"/>
          <w:color w:val="auto"/>
        </w:rPr>
        <w:t>mechanisms,</w:t>
      </w:r>
      <w:r w:rsidRPr="00302C43">
        <w:rPr>
          <w:rFonts w:ascii="Times New Roman" w:eastAsia="Times New Roman" w:hAnsi="Times New Roman" w:cs="Times New Roman"/>
          <w:color w:val="auto"/>
        </w:rPr>
        <w:t xml:space="preserve"> they may use to compromise a system, the engineers will gain a better understanding of targets or weaknesses within their own systems and the degree to which they can be compromised. Some critics of this approach argue that a </w:t>
      </w:r>
      <w:proofErr w:type="spellStart"/>
      <w:r w:rsidRPr="00302C43">
        <w:rPr>
          <w:rFonts w:ascii="Times New Roman" w:eastAsia="Times New Roman" w:hAnsi="Times New Roman" w:cs="Times New Roman"/>
          <w:color w:val="auto"/>
        </w:rPr>
        <w:t>PnG</w:t>
      </w:r>
      <w:proofErr w:type="spellEnd"/>
      <w:r w:rsidRPr="00302C43">
        <w:rPr>
          <w:rFonts w:ascii="Times New Roman" w:eastAsia="Times New Roman" w:hAnsi="Times New Roman" w:cs="Times New Roman"/>
          <w:color w:val="auto"/>
        </w:rPr>
        <w:t xml:space="preserve"> can often take users down the wrong path. For example, for a system related to national security, users might reason that the system may be the target of a sophisticated attack from another nation-state. This conclusion, however, overlooks the fact that a nation-state might compromise a system first through a much simpler entry point and then ratchet up operations from there.</w:t>
      </w:r>
    </w:p>
    <w:p w14:paraId="34A99B34" w14:textId="69B3EF4F" w:rsidR="002C327A" w:rsidRDefault="002C327A" w:rsidP="002C327A"/>
    <w:p w14:paraId="291CE499" w14:textId="1774A41B" w:rsidR="002C327A" w:rsidRPr="002C327A" w:rsidRDefault="002C327A" w:rsidP="002C327A">
      <w:pPr>
        <w:pStyle w:val="Body"/>
        <w:rPr>
          <w:sz w:val="24"/>
          <w:szCs w:val="24"/>
        </w:rPr>
      </w:pPr>
      <w:r w:rsidRPr="002C327A">
        <w:rPr>
          <w:sz w:val="24"/>
          <w:szCs w:val="24"/>
        </w:rPr>
        <w:t xml:space="preserve">We provide examples of two </w:t>
      </w:r>
      <w:proofErr w:type="spellStart"/>
      <w:r w:rsidRPr="002C327A">
        <w:rPr>
          <w:sz w:val="24"/>
          <w:szCs w:val="24"/>
        </w:rPr>
        <w:t>PnGs</w:t>
      </w:r>
      <w:proofErr w:type="spellEnd"/>
      <w:r w:rsidRPr="002C327A">
        <w:rPr>
          <w:sz w:val="24"/>
          <w:szCs w:val="24"/>
        </w:rPr>
        <w:t xml:space="preserve"> in Figure 1. These </w:t>
      </w:r>
      <w:proofErr w:type="spellStart"/>
      <w:r w:rsidRPr="002C327A">
        <w:rPr>
          <w:sz w:val="24"/>
          <w:szCs w:val="24"/>
        </w:rPr>
        <w:t>PnGs</w:t>
      </w:r>
      <w:proofErr w:type="spellEnd"/>
      <w:r w:rsidRPr="002C327A">
        <w:rPr>
          <w:sz w:val="24"/>
          <w:szCs w:val="24"/>
        </w:rPr>
        <w:t xml:space="preserve"> were constructed manually for training purposes and target the domain of Electro-Cardio Converters. Each </w:t>
      </w:r>
      <w:proofErr w:type="spellStart"/>
      <w:r w:rsidRPr="002C327A">
        <w:rPr>
          <w:sz w:val="24"/>
          <w:szCs w:val="24"/>
        </w:rPr>
        <w:t>PnG</w:t>
      </w:r>
      <w:proofErr w:type="spellEnd"/>
      <w:r w:rsidRPr="002C327A">
        <w:rPr>
          <w:sz w:val="24"/>
          <w:szCs w:val="24"/>
        </w:rPr>
        <w:t xml:space="preserve"> includes an image of the persona, his or her name, a description, the assumed role (e.g., Mechanical Engineer), and a moniker (e.g., </w:t>
      </w:r>
      <w:proofErr w:type="gramStart"/>
      <w:r w:rsidRPr="002C327A">
        <w:rPr>
          <w:sz w:val="24"/>
          <w:szCs w:val="24"/>
        </w:rPr>
        <w:t>Bitter</w:t>
      </w:r>
      <w:proofErr w:type="gramEnd"/>
      <w:r w:rsidRPr="002C327A">
        <w:rPr>
          <w:sz w:val="24"/>
          <w:szCs w:val="24"/>
        </w:rPr>
        <w:t xml:space="preserve"> and revengeful). Furthermore, it includes a set of relevant goals and skills, and a set of misuse cases that describe specific ways in which the </w:t>
      </w:r>
      <w:proofErr w:type="spellStart"/>
      <w:r w:rsidRPr="002C327A">
        <w:rPr>
          <w:sz w:val="24"/>
          <w:szCs w:val="24"/>
        </w:rPr>
        <w:t>PnG</w:t>
      </w:r>
      <w:proofErr w:type="spellEnd"/>
      <w:r w:rsidRPr="002C327A">
        <w:rPr>
          <w:sz w:val="24"/>
          <w:szCs w:val="24"/>
        </w:rPr>
        <w:t xml:space="preserve"> intends to attack the system [</w:t>
      </w:r>
      <w:proofErr w:type="spellStart"/>
      <w:r w:rsidRPr="002C327A">
        <w:rPr>
          <w:sz w:val="24"/>
          <w:szCs w:val="24"/>
        </w:rPr>
        <w:t>Opdahl</w:t>
      </w:r>
      <w:proofErr w:type="spellEnd"/>
      <w:r w:rsidRPr="002C327A">
        <w:rPr>
          <w:sz w:val="24"/>
          <w:szCs w:val="24"/>
        </w:rPr>
        <w:t xml:space="preserve"> 2009]. From this, we can construct a threat model that includes the actor (i.e., the </w:t>
      </w:r>
      <w:proofErr w:type="spellStart"/>
      <w:r w:rsidRPr="002C327A">
        <w:rPr>
          <w:sz w:val="24"/>
          <w:szCs w:val="24"/>
        </w:rPr>
        <w:t>PnG</w:t>
      </w:r>
      <w:proofErr w:type="spellEnd"/>
      <w:r w:rsidRPr="002C327A">
        <w:rPr>
          <w:sz w:val="24"/>
          <w:szCs w:val="24"/>
        </w:rPr>
        <w:t>) and the attack mechanism and target specified in the misuse cases. Attack intent is provided in the general description.</w:t>
      </w:r>
    </w:p>
    <w:p w14:paraId="547A81A5" w14:textId="57B5B376" w:rsidR="002C327A" w:rsidRPr="002C327A" w:rsidRDefault="002C327A" w:rsidP="002C327A">
      <w:pPr>
        <w:pStyle w:val="Body"/>
        <w:rPr>
          <w:sz w:val="24"/>
          <w:szCs w:val="24"/>
        </w:rPr>
      </w:pPr>
      <w:r w:rsidRPr="002C327A">
        <w:rPr>
          <w:sz w:val="24"/>
          <w:szCs w:val="24"/>
        </w:rPr>
        <w:t>A different set of examples is provided in the Example Solution section.</w:t>
      </w:r>
    </w:p>
    <w:p w14:paraId="7ACC7C64" w14:textId="77777777" w:rsidR="002C327A" w:rsidRPr="005D5485" w:rsidRDefault="002C327A" w:rsidP="002C327A">
      <w:pPr>
        <w:pStyle w:val="Body"/>
      </w:pPr>
      <w:r>
        <w:rPr>
          <w:noProof/>
        </w:rPr>
        <w:lastRenderedPageBreak/>
        <w:drawing>
          <wp:inline distT="0" distB="0" distL="0" distR="0" wp14:anchorId="789A1C53" wp14:editId="4B3D874D">
            <wp:extent cx="4671104" cy="3303270"/>
            <wp:effectExtent l="0" t="0" r="0" b="0"/>
            <wp:docPr id="7" name="Picture 7" descr="https://servicedesk.sei.cmu.edu/jira/secure/attachment/50267/marvin-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ervicedesk.sei.cmu.edu/jira/secure/attachment/50267/marvin-new.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10556" cy="3331170"/>
                    </a:xfrm>
                    <a:prstGeom prst="rect">
                      <a:avLst/>
                    </a:prstGeom>
                    <a:noFill/>
                    <a:ln>
                      <a:noFill/>
                    </a:ln>
                  </pic:spPr>
                </pic:pic>
              </a:graphicData>
            </a:graphic>
          </wp:inline>
        </w:drawing>
      </w:r>
    </w:p>
    <w:p w14:paraId="11CD0649" w14:textId="77777777" w:rsidR="002C327A" w:rsidRPr="005D5485" w:rsidRDefault="002C327A" w:rsidP="002C327A">
      <w:pPr>
        <w:pStyle w:val="Body"/>
      </w:pPr>
      <w:r>
        <w:rPr>
          <w:noProof/>
        </w:rPr>
        <w:drawing>
          <wp:inline distT="0" distB="0" distL="0" distR="0" wp14:anchorId="127C6539" wp14:editId="494403CA">
            <wp:extent cx="4650973" cy="3289035"/>
            <wp:effectExtent l="0" t="0" r="0" b="6985"/>
            <wp:docPr id="22" name="Picture 22" descr="https://servicedesk.sei.cmu.edu/jira/secure/attachment/50266/angela-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ervicedesk.sei.cmu.edu/jira/secure/attachment/50266/angela-new.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62884" cy="3297458"/>
                    </a:xfrm>
                    <a:prstGeom prst="rect">
                      <a:avLst/>
                    </a:prstGeom>
                    <a:noFill/>
                    <a:ln>
                      <a:noFill/>
                    </a:ln>
                  </pic:spPr>
                </pic:pic>
              </a:graphicData>
            </a:graphic>
          </wp:inline>
        </w:drawing>
      </w:r>
    </w:p>
    <w:p w14:paraId="0176DF09" w14:textId="0B4AFB51" w:rsidR="002C327A" w:rsidRPr="005D5485" w:rsidRDefault="002C327A" w:rsidP="002C327A">
      <w:pPr>
        <w:pStyle w:val="Caption"/>
      </w:pPr>
      <w:bookmarkStart w:id="0" w:name="_Ref500665586"/>
      <w:bookmarkStart w:id="1" w:name="_Toc505084204"/>
      <w:r>
        <w:t>Figure 1</w:t>
      </w:r>
      <w:bookmarkEnd w:id="0"/>
      <w:r>
        <w:t>:</w:t>
      </w:r>
      <w:r>
        <w:tab/>
        <w:t xml:space="preserve">Two Personae Non </w:t>
      </w:r>
      <w:proofErr w:type="spellStart"/>
      <w:r>
        <w:t>Gratae</w:t>
      </w:r>
      <w:bookmarkEnd w:id="1"/>
      <w:proofErr w:type="spellEnd"/>
    </w:p>
    <w:p w14:paraId="48571ECE" w14:textId="77777777" w:rsidR="002C327A" w:rsidRPr="002C327A" w:rsidRDefault="002C327A" w:rsidP="002C327A">
      <w:pPr>
        <w:pStyle w:val="Body"/>
        <w:rPr>
          <w:sz w:val="24"/>
          <w:szCs w:val="24"/>
        </w:rPr>
      </w:pPr>
      <w:r w:rsidRPr="002C327A">
        <w:rPr>
          <w:sz w:val="24"/>
          <w:szCs w:val="24"/>
        </w:rPr>
        <w:t xml:space="preserve">We asked students in two introductory information security courses, one undergraduate and the other graduate, to work in teams of three to four people to construct </w:t>
      </w:r>
      <w:proofErr w:type="spellStart"/>
      <w:r w:rsidRPr="002C327A">
        <w:rPr>
          <w:sz w:val="24"/>
          <w:szCs w:val="24"/>
        </w:rPr>
        <w:t>PnGs</w:t>
      </w:r>
      <w:proofErr w:type="spellEnd"/>
      <w:r w:rsidRPr="002C327A">
        <w:rPr>
          <w:sz w:val="24"/>
          <w:szCs w:val="24"/>
        </w:rPr>
        <w:t xml:space="preserve"> for one of two systems [Shull 2016b]. Here we focus on one of these systems, which utilized unmanned aerial vehicles (UAVs) to perform a rescue mission. The drones could carry payloads such as emergency supplies and were capable of autonomous operation if communication with the base station was lost. Each scenario was described in a two-page document that represented very early ideas for </w:t>
      </w:r>
      <w:r w:rsidRPr="002C327A">
        <w:rPr>
          <w:sz w:val="24"/>
          <w:szCs w:val="24"/>
        </w:rPr>
        <w:lastRenderedPageBreak/>
        <w:t>each of the projects. Goals, major constraints, and high-level designs were provided, but not the lower-level implementation decisions.</w:t>
      </w:r>
    </w:p>
    <w:p w14:paraId="5145AA11" w14:textId="77777777" w:rsidR="002C327A" w:rsidRPr="002C327A" w:rsidRDefault="002C327A" w:rsidP="002C327A">
      <w:pPr>
        <w:pStyle w:val="Body"/>
        <w:rPr>
          <w:sz w:val="24"/>
          <w:szCs w:val="24"/>
        </w:rPr>
      </w:pPr>
      <w:r w:rsidRPr="002C327A">
        <w:rPr>
          <w:sz w:val="24"/>
          <w:szCs w:val="24"/>
        </w:rPr>
        <w:t xml:space="preserve">We used crowdsourcing in conjunction with </w:t>
      </w:r>
      <w:proofErr w:type="spellStart"/>
      <w:r w:rsidRPr="002C327A">
        <w:rPr>
          <w:sz w:val="24"/>
          <w:szCs w:val="24"/>
        </w:rPr>
        <w:t>PnG</w:t>
      </w:r>
      <w:proofErr w:type="spellEnd"/>
      <w:r w:rsidRPr="002C327A">
        <w:rPr>
          <w:sz w:val="24"/>
          <w:szCs w:val="24"/>
        </w:rPr>
        <w:t xml:space="preserve"> to enhance the results. Mead describes the crowdsourcing part of the study [Mead 2017].</w:t>
      </w:r>
    </w:p>
    <w:p w14:paraId="58450960" w14:textId="77777777" w:rsidR="00302C43" w:rsidRPr="00302C43" w:rsidRDefault="00302C43" w:rsidP="00302C43"/>
    <w:p w14:paraId="4A9DA336" w14:textId="2BBCD3AA" w:rsidR="006D461D" w:rsidRDefault="006D461D" w:rsidP="00185362">
      <w:pPr>
        <w:pStyle w:val="Heading3"/>
        <w:spacing w:before="0"/>
        <w:rPr>
          <w:b/>
          <w:bCs/>
        </w:rPr>
      </w:pPr>
      <w:r w:rsidRPr="006D461D">
        <w:rPr>
          <w:b/>
          <w:bCs/>
        </w:rPr>
        <w:t>Case</w:t>
      </w:r>
      <w:r w:rsidR="00A6150B">
        <w:rPr>
          <w:b/>
          <w:bCs/>
        </w:rPr>
        <w:t xml:space="preserve"> Study Overview</w:t>
      </w:r>
    </w:p>
    <w:p w14:paraId="10E1C68A" w14:textId="1BE44D76" w:rsidR="009F176B" w:rsidRDefault="00302C43" w:rsidP="009F176B">
      <w:pPr>
        <w:pStyle w:val="NoSpacing"/>
        <w:rPr>
          <w:rFonts w:eastAsia="Arial"/>
          <w:sz w:val="24"/>
          <w:szCs w:val="24"/>
        </w:rPr>
      </w:pPr>
      <w:r w:rsidRPr="00302C43">
        <w:rPr>
          <w:rFonts w:eastAsia="Arial"/>
          <w:sz w:val="24"/>
          <w:szCs w:val="24"/>
        </w:rPr>
        <w:t>A persona provides a realistic and engaging representation of a specific user group. It is typically depicted through a representative image and a personal description that portrays something about the psyche, background, emotions and attitudes, and personal traits of the fictitious person [Putnam 2012, Nielsen 2013]. The task of creating a persona usually involves surveying and inter-viewing users, identifying optimal ways for slicing users into categories, collecting data to demonstrate that the proposed slices create distinguishable user groups, discovering patterns with-in the user groups, constructing personas for each group, and then creating scenarios describing how the persona might interact with the system under development. A project will typically have about five to eight personas.</w:t>
      </w:r>
    </w:p>
    <w:p w14:paraId="616F469C" w14:textId="77777777" w:rsidR="00302C43" w:rsidRDefault="00302C43" w:rsidP="00185362">
      <w:pPr>
        <w:pStyle w:val="Heading3"/>
        <w:spacing w:before="0"/>
        <w:rPr>
          <w:rFonts w:eastAsia="Arial"/>
          <w:b/>
          <w:bCs/>
        </w:rPr>
      </w:pPr>
    </w:p>
    <w:p w14:paraId="24579BDD" w14:textId="1651E591" w:rsidR="002C327A" w:rsidRDefault="00A6150B" w:rsidP="00C56261">
      <w:pPr>
        <w:pStyle w:val="Heading3"/>
        <w:spacing w:before="0"/>
        <w:rPr>
          <w:rFonts w:eastAsia="Arial"/>
          <w:b/>
          <w:bCs/>
        </w:rPr>
      </w:pPr>
      <w:r w:rsidRPr="00E0649D">
        <w:rPr>
          <w:rFonts w:eastAsia="Arial"/>
          <w:b/>
          <w:bCs/>
        </w:rPr>
        <w:t>Student Instructions</w:t>
      </w:r>
    </w:p>
    <w:p w14:paraId="5EE0B867" w14:textId="4036F95F" w:rsidR="00C56261" w:rsidRPr="00C56261" w:rsidRDefault="00C56261" w:rsidP="00C56261">
      <w:pPr>
        <w:rPr>
          <w:rFonts w:eastAsia="Arial"/>
          <w:sz w:val="24"/>
          <w:szCs w:val="24"/>
        </w:rPr>
      </w:pPr>
      <w:r w:rsidRPr="00C56261">
        <w:rPr>
          <w:rFonts w:eastAsia="Arial"/>
          <w:sz w:val="24"/>
          <w:szCs w:val="24"/>
        </w:rPr>
        <w:t xml:space="preserve">Complete the </w:t>
      </w:r>
      <w:proofErr w:type="spellStart"/>
      <w:r w:rsidRPr="00C56261">
        <w:rPr>
          <w:rFonts w:eastAsia="Arial"/>
          <w:sz w:val="24"/>
          <w:szCs w:val="24"/>
        </w:rPr>
        <w:t>PnG</w:t>
      </w:r>
      <w:proofErr w:type="spellEnd"/>
      <w:r w:rsidRPr="00C56261">
        <w:rPr>
          <w:rFonts w:eastAsia="Arial"/>
          <w:sz w:val="24"/>
          <w:szCs w:val="24"/>
        </w:rPr>
        <w:t xml:space="preserve"> example you have been given, until you have a complete profile including the </w:t>
      </w:r>
      <w:proofErr w:type="spellStart"/>
      <w:r w:rsidRPr="00C56261">
        <w:rPr>
          <w:rFonts w:eastAsia="Arial"/>
          <w:sz w:val="24"/>
          <w:szCs w:val="24"/>
        </w:rPr>
        <w:t>PnG</w:t>
      </w:r>
      <w:proofErr w:type="spellEnd"/>
      <w:r w:rsidRPr="00C56261">
        <w:rPr>
          <w:rFonts w:eastAsia="Arial"/>
          <w:sz w:val="24"/>
          <w:szCs w:val="24"/>
        </w:rPr>
        <w:t xml:space="preserve"> description, goals, </w:t>
      </w:r>
      <w:proofErr w:type="gramStart"/>
      <w:r w:rsidRPr="00C56261">
        <w:rPr>
          <w:rFonts w:eastAsia="Arial"/>
          <w:sz w:val="24"/>
          <w:szCs w:val="24"/>
        </w:rPr>
        <w:t>skills</w:t>
      </w:r>
      <w:proofErr w:type="gramEnd"/>
      <w:r w:rsidRPr="00C56261">
        <w:rPr>
          <w:rFonts w:eastAsia="Arial"/>
          <w:sz w:val="24"/>
          <w:szCs w:val="24"/>
        </w:rPr>
        <w:t xml:space="preserve"> and misuse cases.  Discuss the likelihood of the misuse cases and prioritize them accordingly.</w:t>
      </w:r>
    </w:p>
    <w:p w14:paraId="1809892E" w14:textId="77777777" w:rsidR="00C56261" w:rsidRPr="00C56261" w:rsidRDefault="00C56261" w:rsidP="00C56261">
      <w:pPr>
        <w:rPr>
          <w:rFonts w:eastAsia="Arial"/>
        </w:rPr>
      </w:pPr>
    </w:p>
    <w:p w14:paraId="0996CCC1" w14:textId="4EAA77B0" w:rsidR="00A6150B" w:rsidRPr="00E0649D" w:rsidRDefault="00A6150B" w:rsidP="00E0649D">
      <w:pPr>
        <w:pStyle w:val="Heading3"/>
        <w:rPr>
          <w:rFonts w:eastAsia="Arial"/>
          <w:b/>
          <w:bCs/>
        </w:rPr>
      </w:pPr>
      <w:r w:rsidRPr="00E0649D">
        <w:rPr>
          <w:rFonts w:eastAsia="Arial"/>
          <w:b/>
          <w:bCs/>
        </w:rPr>
        <w:t>Instructor notes</w:t>
      </w:r>
    </w:p>
    <w:p w14:paraId="00E2D2B9" w14:textId="7DAD6661" w:rsidR="003D147E" w:rsidRDefault="00C56261" w:rsidP="00A6150B">
      <w:pPr>
        <w:pStyle w:val="NoSpacing"/>
        <w:rPr>
          <w:rFonts w:eastAsia="Arial"/>
          <w:sz w:val="24"/>
          <w:szCs w:val="24"/>
        </w:rPr>
      </w:pPr>
      <w:r>
        <w:rPr>
          <w:rFonts w:eastAsia="Arial"/>
          <w:sz w:val="24"/>
          <w:szCs w:val="24"/>
        </w:rPr>
        <w:t xml:space="preserve">The instructor could introduce </w:t>
      </w:r>
      <w:proofErr w:type="spellStart"/>
      <w:r>
        <w:rPr>
          <w:rFonts w:eastAsia="Arial"/>
          <w:sz w:val="24"/>
          <w:szCs w:val="24"/>
        </w:rPr>
        <w:t>PnG</w:t>
      </w:r>
      <w:proofErr w:type="spellEnd"/>
      <w:r>
        <w:rPr>
          <w:rFonts w:eastAsia="Arial"/>
          <w:sz w:val="24"/>
          <w:szCs w:val="24"/>
        </w:rPr>
        <w:t xml:space="preserve"> exercises to the students gradually.  For example, after explaining the method and giving the students some examples, you could start by giving the students the </w:t>
      </w:r>
      <w:proofErr w:type="spellStart"/>
      <w:r>
        <w:rPr>
          <w:rFonts w:eastAsia="Arial"/>
          <w:sz w:val="24"/>
          <w:szCs w:val="24"/>
        </w:rPr>
        <w:t>PnG</w:t>
      </w:r>
      <w:proofErr w:type="spellEnd"/>
      <w:r>
        <w:rPr>
          <w:rFonts w:eastAsia="Arial"/>
          <w:sz w:val="24"/>
          <w:szCs w:val="24"/>
        </w:rPr>
        <w:t xml:space="preserve"> description, Goals, and Skills, and ask the students to construct the misuse cases, and discuss how likely they are.  For a more advanced exercise, the students could be given only the </w:t>
      </w:r>
      <w:proofErr w:type="spellStart"/>
      <w:r>
        <w:rPr>
          <w:rFonts w:eastAsia="Arial"/>
          <w:sz w:val="24"/>
          <w:szCs w:val="24"/>
        </w:rPr>
        <w:t>PnG</w:t>
      </w:r>
      <w:proofErr w:type="spellEnd"/>
      <w:r>
        <w:rPr>
          <w:rFonts w:eastAsia="Arial"/>
          <w:sz w:val="24"/>
          <w:szCs w:val="24"/>
        </w:rPr>
        <w:t xml:space="preserve"> description, and asked to identify the likely Goals, Skills, and Misuse Cases, and then discuss the likelihood and prioritize accordingly.  This is best done as a team exercise as there is an element of brainstorming, and different students are likely to have differing ideas of priority.  These could either be homework or classroom exercises, but they are not likely to occupy significant parts of a semester.  </w:t>
      </w:r>
    </w:p>
    <w:p w14:paraId="18E5F640" w14:textId="1D3CEEAA" w:rsidR="00001078" w:rsidRPr="00550D22" w:rsidRDefault="00001078" w:rsidP="00550D22">
      <w:pPr>
        <w:pStyle w:val="Heading3"/>
        <w:rPr>
          <w:rFonts w:eastAsia="Arial"/>
          <w:b/>
          <w:bCs/>
        </w:rPr>
      </w:pPr>
      <w:r w:rsidRPr="00550D22">
        <w:rPr>
          <w:rFonts w:eastAsia="Arial"/>
          <w:b/>
          <w:bCs/>
        </w:rPr>
        <w:lastRenderedPageBreak/>
        <w:t xml:space="preserve">Example </w:t>
      </w:r>
      <w:r w:rsidR="00994D5C">
        <w:rPr>
          <w:rFonts w:eastAsia="Arial"/>
          <w:b/>
          <w:bCs/>
        </w:rPr>
        <w:t>S</w:t>
      </w:r>
      <w:r w:rsidRPr="00550D22">
        <w:rPr>
          <w:rFonts w:eastAsia="Arial"/>
          <w:b/>
          <w:bCs/>
        </w:rPr>
        <w:t xml:space="preserve">olution </w:t>
      </w:r>
    </w:p>
    <w:p w14:paraId="61A030C8" w14:textId="77777777" w:rsidR="002C327A" w:rsidRDefault="002C327A" w:rsidP="002C327A">
      <w:pPr>
        <w:pStyle w:val="FigureAnchor"/>
        <w:rPr>
          <w:rFonts w:eastAsia="Calibri"/>
        </w:rPr>
      </w:pPr>
      <w:r>
        <w:rPr>
          <w:noProof/>
        </w:rPr>
        <w:drawing>
          <wp:inline distT="0" distB="0" distL="0" distR="0" wp14:anchorId="31A4D6E6" wp14:editId="1BD50103">
            <wp:extent cx="5368925" cy="3796749"/>
            <wp:effectExtent l="0" t="0" r="3175" b="0"/>
            <wp:docPr id="23" name="Picture 23" descr="https://servicedesk.sei.cmu.edu/jira/secure/attachment/50264/josh-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ervicedesk.sei.cmu.edu/jira/secure/attachment/50264/josh-new.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72325" cy="3799153"/>
                    </a:xfrm>
                    <a:prstGeom prst="rect">
                      <a:avLst/>
                    </a:prstGeom>
                    <a:noFill/>
                    <a:ln>
                      <a:noFill/>
                    </a:ln>
                  </pic:spPr>
                </pic:pic>
              </a:graphicData>
            </a:graphic>
          </wp:inline>
        </w:drawing>
      </w:r>
    </w:p>
    <w:p w14:paraId="597C4E7C" w14:textId="3600934D" w:rsidR="002C327A" w:rsidRPr="005D5485" w:rsidRDefault="002C327A" w:rsidP="002C327A">
      <w:pPr>
        <w:pStyle w:val="Caption"/>
        <w:rPr>
          <w:rFonts w:eastAsia="Calibri"/>
        </w:rPr>
      </w:pPr>
      <w:bookmarkStart w:id="2" w:name="_Ref500939091"/>
      <w:bookmarkStart w:id="3" w:name="_Toc505084210"/>
      <w:r>
        <w:t>Figure 2</w:t>
      </w:r>
      <w:bookmarkEnd w:id="2"/>
      <w:r>
        <w:t>:</w:t>
      </w:r>
      <w:r>
        <w:tab/>
      </w:r>
      <w:proofErr w:type="spellStart"/>
      <w:r>
        <w:t>PnG</w:t>
      </w:r>
      <w:proofErr w:type="spellEnd"/>
      <w:r>
        <w:t xml:space="preserve"> Competing Cardiologist</w:t>
      </w:r>
      <w:bookmarkEnd w:id="3"/>
    </w:p>
    <w:p w14:paraId="1FEB942F" w14:textId="77777777" w:rsidR="00CE4791" w:rsidRDefault="00CE4791" w:rsidP="00FF2789">
      <w:pPr>
        <w:pStyle w:val="Heading3-nonum"/>
        <w:rPr>
          <w:rFonts w:asciiTheme="minorHAnsi" w:eastAsia="Calibri" w:hAnsiTheme="minorHAnsi" w:cstheme="minorHAnsi"/>
          <w:sz w:val="24"/>
          <w:szCs w:val="24"/>
        </w:rPr>
      </w:pPr>
    </w:p>
    <w:p w14:paraId="10DBBF1F" w14:textId="7D32C63A" w:rsidR="002C327A" w:rsidRPr="00CE4791" w:rsidRDefault="002C327A" w:rsidP="00FF2789">
      <w:pPr>
        <w:pStyle w:val="Heading3-nonum"/>
        <w:rPr>
          <w:rFonts w:asciiTheme="minorHAnsi" w:eastAsia="Calibri" w:hAnsiTheme="minorHAnsi" w:cstheme="minorHAnsi"/>
          <w:sz w:val="24"/>
          <w:szCs w:val="24"/>
        </w:rPr>
      </w:pPr>
      <w:r w:rsidRPr="00CE4791">
        <w:rPr>
          <w:rFonts w:asciiTheme="minorHAnsi" w:eastAsia="Calibri" w:hAnsiTheme="minorHAnsi" w:cstheme="minorHAnsi"/>
          <w:sz w:val="24"/>
          <w:szCs w:val="24"/>
        </w:rPr>
        <w:t>Misuse Cases</w:t>
      </w:r>
    </w:p>
    <w:p w14:paraId="593FB418" w14:textId="77777777" w:rsidR="002C327A" w:rsidRPr="007B3F22" w:rsidRDefault="002C327A" w:rsidP="002C327A">
      <w:pPr>
        <w:pStyle w:val="Body"/>
        <w:rPr>
          <w:rFonts w:eastAsia="Calibri"/>
        </w:rPr>
      </w:pPr>
      <w:r>
        <w:rPr>
          <w:rFonts w:eastAsia="Calibri"/>
        </w:rPr>
        <w:t xml:space="preserve">The </w:t>
      </w:r>
      <w:proofErr w:type="spellStart"/>
      <w:r>
        <w:rPr>
          <w:rFonts w:eastAsia="Calibri"/>
        </w:rPr>
        <w:t>PnG</w:t>
      </w:r>
      <w:proofErr w:type="spellEnd"/>
      <w:r>
        <w:rPr>
          <w:rFonts w:eastAsia="Calibri"/>
        </w:rPr>
        <w:t xml:space="preserve"> profile in </w:t>
      </w:r>
      <w:r>
        <w:rPr>
          <w:rFonts w:eastAsia="Calibri"/>
        </w:rPr>
        <w:fldChar w:fldCharType="begin"/>
      </w:r>
      <w:r>
        <w:rPr>
          <w:rFonts w:eastAsia="Calibri"/>
        </w:rPr>
        <w:instrText xml:space="preserve"> REF _Ref500939091 \h </w:instrText>
      </w:r>
      <w:r>
        <w:rPr>
          <w:rFonts w:eastAsia="Calibri"/>
        </w:rPr>
      </w:r>
      <w:r>
        <w:rPr>
          <w:rFonts w:eastAsia="Calibri"/>
        </w:rPr>
        <w:fldChar w:fldCharType="separate"/>
      </w:r>
      <w:r>
        <w:t xml:space="preserve">Figure </w:t>
      </w:r>
      <w:r>
        <w:rPr>
          <w:noProof/>
        </w:rPr>
        <w:t>9</w:t>
      </w:r>
      <w:r>
        <w:rPr>
          <w:rFonts w:eastAsia="Calibri"/>
        </w:rPr>
        <w:fldChar w:fldCharType="end"/>
      </w:r>
      <w:r>
        <w:rPr>
          <w:rFonts w:eastAsia="Calibri"/>
        </w:rPr>
        <w:t xml:space="preserve"> lists the following Misuse Cases: </w:t>
      </w:r>
    </w:p>
    <w:p w14:paraId="7BECE085" w14:textId="77777777" w:rsidR="002C327A" w:rsidRPr="00F633FA" w:rsidRDefault="002C327A" w:rsidP="002C327A">
      <w:pPr>
        <w:pStyle w:val="ListNumbered1"/>
        <w:numPr>
          <w:ilvl w:val="0"/>
          <w:numId w:val="32"/>
        </w:numPr>
        <w:tabs>
          <w:tab w:val="clear" w:pos="216"/>
        </w:tabs>
      </w:pPr>
      <w:r w:rsidRPr="00F633FA">
        <w:t>Access the ICDs, change their internal clock settings so that the calculations are off by days.</w:t>
      </w:r>
    </w:p>
    <w:p w14:paraId="496E4C6C" w14:textId="77777777" w:rsidR="002C327A" w:rsidRPr="00F633FA" w:rsidRDefault="002C327A" w:rsidP="002C327A">
      <w:pPr>
        <w:pStyle w:val="ListNumbered1"/>
        <w:numPr>
          <w:ilvl w:val="0"/>
          <w:numId w:val="32"/>
        </w:numPr>
        <w:tabs>
          <w:tab w:val="clear" w:pos="216"/>
        </w:tabs>
      </w:pPr>
      <w:r w:rsidRPr="00F633FA">
        <w:t>Replace one of the ICDs with a collection of ICDs that are made from different components than the original maker’s (supply chain attack) so that the functions are very different, although the settings may look the same.</w:t>
      </w:r>
    </w:p>
    <w:p w14:paraId="277699B0" w14:textId="2BA0A551" w:rsidR="002C327A" w:rsidRPr="00CE4791" w:rsidRDefault="002C327A" w:rsidP="00FF2789">
      <w:pPr>
        <w:pStyle w:val="Heading3-nonum"/>
        <w:rPr>
          <w:rFonts w:asciiTheme="minorHAnsi" w:eastAsia="Calibri" w:hAnsiTheme="minorHAnsi" w:cstheme="minorHAnsi"/>
          <w:sz w:val="24"/>
          <w:szCs w:val="24"/>
        </w:rPr>
      </w:pPr>
      <w:r w:rsidRPr="00CE4791">
        <w:rPr>
          <w:rFonts w:asciiTheme="minorHAnsi" w:eastAsia="Calibri" w:hAnsiTheme="minorHAnsi" w:cstheme="minorHAnsi"/>
          <w:sz w:val="24"/>
          <w:szCs w:val="24"/>
        </w:rPr>
        <w:t xml:space="preserve">Misuse Case Discussion: Case 1 </w:t>
      </w:r>
    </w:p>
    <w:p w14:paraId="0BF2AF3C" w14:textId="77777777" w:rsidR="002C327A" w:rsidRPr="005D5485" w:rsidRDefault="002C327A" w:rsidP="002C327A">
      <w:pPr>
        <w:pStyle w:val="Body"/>
        <w:rPr>
          <w:rFonts w:eastAsia="Calibri"/>
        </w:rPr>
      </w:pPr>
      <w:r w:rsidRPr="005D5485">
        <w:rPr>
          <w:rFonts w:eastAsia="Calibri"/>
        </w:rPr>
        <w:t>How likely is this case?</w:t>
      </w:r>
      <w:r>
        <w:rPr>
          <w:rFonts w:eastAsia="Calibri"/>
        </w:rPr>
        <w:t xml:space="preserve"> </w:t>
      </w:r>
    </w:p>
    <w:p w14:paraId="78395068" w14:textId="77777777" w:rsidR="002C327A" w:rsidRPr="005D5485" w:rsidRDefault="002C327A" w:rsidP="002C327A">
      <w:pPr>
        <w:pStyle w:val="Body"/>
        <w:rPr>
          <w:rFonts w:eastAsia="Calibri"/>
        </w:rPr>
      </w:pPr>
      <w:r w:rsidRPr="005D5485">
        <w:rPr>
          <w:rFonts w:eastAsia="Calibri"/>
        </w:rPr>
        <w:t xml:space="preserve">Let us </w:t>
      </w:r>
      <w:proofErr w:type="gramStart"/>
      <w:r w:rsidRPr="005D5485">
        <w:rPr>
          <w:rFonts w:eastAsia="Calibri"/>
        </w:rPr>
        <w:t>take a look</w:t>
      </w:r>
      <w:proofErr w:type="gramEnd"/>
      <w:r w:rsidRPr="005D5485">
        <w:rPr>
          <w:rFonts w:eastAsia="Calibri"/>
        </w:rPr>
        <w:t xml:space="preserve"> at the function block diagram of a typical </w:t>
      </w:r>
      <w:r w:rsidRPr="005D5485">
        <w:t xml:space="preserve">implantable cardioverter-defibrillator </w:t>
      </w:r>
      <w:r>
        <w:t>(</w:t>
      </w:r>
      <w:r w:rsidRPr="005D5485">
        <w:rPr>
          <w:rFonts w:eastAsia="Calibri"/>
        </w:rPr>
        <w:t>ICD</w:t>
      </w:r>
      <w:r>
        <w:rPr>
          <w:rFonts w:eastAsia="Calibri"/>
        </w:rPr>
        <w:t>)</w:t>
      </w:r>
      <w:r w:rsidRPr="005D5485">
        <w:rPr>
          <w:rFonts w:eastAsia="Calibri"/>
        </w:rPr>
        <w:t>:</w:t>
      </w:r>
    </w:p>
    <w:p w14:paraId="49CEAE27" w14:textId="77777777" w:rsidR="002C327A" w:rsidRPr="005D5485" w:rsidRDefault="002C327A" w:rsidP="002C327A">
      <w:pPr>
        <w:pStyle w:val="FigureAnchor"/>
        <w:rPr>
          <w:rFonts w:eastAsia="Calibri"/>
        </w:rPr>
      </w:pPr>
      <w:r w:rsidRPr="005D5485">
        <w:rPr>
          <w:rFonts w:eastAsia="Calibri"/>
        </w:rPr>
        <w:lastRenderedPageBreak/>
        <w:fldChar w:fldCharType="begin"/>
      </w:r>
      <w:r w:rsidRPr="005D5485">
        <w:rPr>
          <w:rFonts w:eastAsia="Calibri"/>
        </w:rPr>
        <w:instrText xml:space="preserve"> INCLUDEPICTURE "http://circep.ahajournals.org/content/circae/7/6/1237/F2.large.jpg?width=800&amp;height=600&amp;carousel=1" \* MERGEFORMATINET </w:instrText>
      </w:r>
      <w:r w:rsidRPr="005D5485">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Pr>
          <w:rFonts w:eastAsia="Calibri"/>
        </w:rPr>
        <w:fldChar w:fldCharType="begin"/>
      </w:r>
      <w:r>
        <w:rPr>
          <w:rFonts w:eastAsia="Calibri"/>
        </w:rPr>
        <w:instrText xml:space="preserve"> INCLUDEPICTURE  "http://circep.ahajournals.org/content/circae/7/6/1237/F2.large.jpg?width=800&amp;height=600&amp;carousel=1" \* MERGEFORMATINET </w:instrText>
      </w:r>
      <w:r>
        <w:rPr>
          <w:rFonts w:eastAsia="Calibri"/>
        </w:rPr>
        <w:fldChar w:fldCharType="separate"/>
      </w:r>
      <w:r w:rsidR="002C4811">
        <w:rPr>
          <w:rFonts w:eastAsia="Calibri"/>
        </w:rPr>
        <w:fldChar w:fldCharType="begin"/>
      </w:r>
      <w:r w:rsidR="002C4811">
        <w:rPr>
          <w:rFonts w:eastAsia="Calibri"/>
        </w:rPr>
        <w:instrText xml:space="preserve"> INCLUDEPICTURE  "http://circep.ahajournals.org/content/circae/7/6/1237/F2.large.jpg?width=800&amp;height=600&amp;carousel=1" \* MERGEFORMATINET </w:instrText>
      </w:r>
      <w:r w:rsidR="002C4811">
        <w:rPr>
          <w:rFonts w:eastAsia="Calibri"/>
        </w:rPr>
        <w:fldChar w:fldCharType="separate"/>
      </w:r>
      <w:r w:rsidR="00843955">
        <w:rPr>
          <w:rFonts w:eastAsia="Calibri"/>
        </w:rPr>
        <w:fldChar w:fldCharType="begin"/>
      </w:r>
      <w:r w:rsidR="00843955">
        <w:rPr>
          <w:rFonts w:eastAsia="Calibri"/>
        </w:rPr>
        <w:instrText xml:space="preserve"> INCLUDEPICTURE  "http://circep.ahajournals.org/content/circae/7/6/1237/F2.large.jpg?width=800&amp;height=600&amp;carousel=1" \* MERGEFORMATINET </w:instrText>
      </w:r>
      <w:r w:rsidR="00843955">
        <w:rPr>
          <w:rFonts w:eastAsia="Calibri"/>
        </w:rPr>
        <w:fldChar w:fldCharType="separate"/>
      </w:r>
      <w:r w:rsidR="000C45AD">
        <w:rPr>
          <w:rFonts w:eastAsia="Calibri"/>
        </w:rPr>
        <w:fldChar w:fldCharType="begin"/>
      </w:r>
      <w:r w:rsidR="000C45AD">
        <w:rPr>
          <w:rFonts w:eastAsia="Calibri"/>
        </w:rPr>
        <w:instrText xml:space="preserve"> </w:instrText>
      </w:r>
      <w:r w:rsidR="000C45AD">
        <w:rPr>
          <w:rFonts w:eastAsia="Calibri"/>
        </w:rPr>
        <w:instrText>INCLUDEPICTURE  "http://circep.ahajournals.org/content/circae/7/6/1237/F2.large.jpg?width=800&amp;height=600&amp;carousel=1</w:instrText>
      </w:r>
      <w:r w:rsidR="000C45AD">
        <w:rPr>
          <w:rFonts w:eastAsia="Calibri"/>
        </w:rPr>
        <w:instrText>" \* MERGEFORMATINET</w:instrText>
      </w:r>
      <w:r w:rsidR="000C45AD">
        <w:rPr>
          <w:rFonts w:eastAsia="Calibri"/>
        </w:rPr>
        <w:instrText xml:space="preserve"> </w:instrText>
      </w:r>
      <w:r w:rsidR="000C45AD">
        <w:rPr>
          <w:rFonts w:eastAsia="Calibri"/>
        </w:rPr>
        <w:fldChar w:fldCharType="separate"/>
      </w:r>
      <w:r w:rsidR="00205FDB">
        <w:rPr>
          <w:rFonts w:eastAsia="Calibri"/>
        </w:rPr>
        <w:pict w14:anchorId="2B4BFF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25pt;height:186pt">
            <v:imagedata r:id="rId11" r:href="rId12"/>
          </v:shape>
        </w:pict>
      </w:r>
      <w:r w:rsidR="000C45AD">
        <w:rPr>
          <w:rFonts w:eastAsia="Calibri"/>
        </w:rPr>
        <w:fldChar w:fldCharType="end"/>
      </w:r>
      <w:r w:rsidR="00843955">
        <w:rPr>
          <w:rFonts w:eastAsia="Calibri"/>
        </w:rPr>
        <w:fldChar w:fldCharType="end"/>
      </w:r>
      <w:r w:rsidR="002C4811">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Pr>
          <w:rFonts w:eastAsia="Calibri"/>
        </w:rPr>
        <w:fldChar w:fldCharType="end"/>
      </w:r>
      <w:r w:rsidRPr="005D5485">
        <w:rPr>
          <w:rFonts w:eastAsia="Calibri"/>
        </w:rPr>
        <w:fldChar w:fldCharType="end"/>
      </w:r>
    </w:p>
    <w:p w14:paraId="18FBD820" w14:textId="77777777" w:rsidR="002C327A" w:rsidRDefault="002C327A" w:rsidP="002C327A">
      <w:pPr>
        <w:pStyle w:val="Caption"/>
      </w:pPr>
    </w:p>
    <w:p w14:paraId="109F01D2" w14:textId="587DF219" w:rsidR="002C327A" w:rsidRDefault="002C327A" w:rsidP="002C327A">
      <w:pPr>
        <w:pStyle w:val="Caption"/>
        <w:spacing w:after="80"/>
        <w:rPr>
          <w:rFonts w:eastAsia="Calibri"/>
        </w:rPr>
      </w:pPr>
      <w:bookmarkStart w:id="4" w:name="_Toc505084211"/>
      <w:r w:rsidRPr="00EA1170">
        <w:t xml:space="preserve">Figure </w:t>
      </w:r>
      <w:fldSimple w:instr=" SEQ Figure \* ARABIC ">
        <w:r w:rsidR="00FF2789">
          <w:rPr>
            <w:noProof/>
          </w:rPr>
          <w:t>3</w:t>
        </w:r>
      </w:fldSimple>
      <w:r w:rsidRPr="00EA1170">
        <w:t>:</w:t>
      </w:r>
      <w:r w:rsidRPr="00EA1170">
        <w:tab/>
      </w:r>
      <w:r w:rsidRPr="00EA1170">
        <w:rPr>
          <w:rFonts w:eastAsia="Calibri"/>
        </w:rPr>
        <w:t>Functional Block Diagram of ICD</w:t>
      </w:r>
      <w:bookmarkEnd w:id="4"/>
      <w:r w:rsidRPr="00EA1170">
        <w:rPr>
          <w:rFonts w:eastAsia="Calibri"/>
        </w:rPr>
        <w:t xml:space="preserve"> </w:t>
      </w:r>
    </w:p>
    <w:p w14:paraId="3F157FA0" w14:textId="77777777" w:rsidR="002C327A" w:rsidRPr="006C072F" w:rsidRDefault="002C327A" w:rsidP="002C327A">
      <w:pPr>
        <w:rPr>
          <w:rFonts w:ascii="Arial" w:hAnsi="Arial" w:cs="Arial"/>
          <w:i/>
          <w:sz w:val="18"/>
          <w:szCs w:val="18"/>
        </w:rPr>
      </w:pPr>
      <w:r w:rsidRPr="006C072F">
        <w:rPr>
          <w:rFonts w:ascii="Arial" w:eastAsia="Calibri" w:hAnsi="Arial" w:cs="Arial"/>
          <w:i/>
          <w:sz w:val="18"/>
          <w:szCs w:val="18"/>
        </w:rPr>
        <w:t>(</w:t>
      </w:r>
      <w:r>
        <w:rPr>
          <w:rFonts w:ascii="Arial" w:eastAsia="Calibri" w:hAnsi="Arial" w:cs="Arial"/>
          <w:i/>
          <w:sz w:val="18"/>
          <w:szCs w:val="18"/>
        </w:rPr>
        <w:t>S</w:t>
      </w:r>
      <w:r w:rsidRPr="006C072F">
        <w:rPr>
          <w:rFonts w:ascii="Arial" w:eastAsia="Calibri" w:hAnsi="Arial" w:cs="Arial"/>
          <w:i/>
          <w:sz w:val="18"/>
          <w:szCs w:val="18"/>
        </w:rPr>
        <w:t>ource:</w:t>
      </w:r>
      <w:r>
        <w:rPr>
          <w:rFonts w:ascii="Arial" w:eastAsia="Calibri" w:hAnsi="Arial" w:cs="Arial"/>
          <w:i/>
          <w:sz w:val="18"/>
          <w:szCs w:val="18"/>
        </w:rPr>
        <w:t xml:space="preserve"> </w:t>
      </w:r>
      <w:r w:rsidRPr="00104A0B">
        <w:rPr>
          <w:rFonts w:ascii="Arial" w:eastAsia="Calibri" w:hAnsi="Arial" w:cs="Arial"/>
          <w:i/>
          <w:sz w:val="18"/>
          <w:szCs w:val="18"/>
        </w:rPr>
        <w:t>[</w:t>
      </w:r>
      <w:proofErr w:type="spellStart"/>
      <w:r w:rsidRPr="00104A0B">
        <w:rPr>
          <w:rFonts w:ascii="Arial" w:eastAsia="Calibri" w:hAnsi="Arial" w:cs="Arial"/>
          <w:i/>
          <w:sz w:val="18"/>
          <w:szCs w:val="18"/>
        </w:rPr>
        <w:t>Swerdlow</w:t>
      </w:r>
      <w:proofErr w:type="spellEnd"/>
      <w:r w:rsidRPr="00104A0B">
        <w:rPr>
          <w:rFonts w:ascii="Arial" w:eastAsia="Calibri" w:hAnsi="Arial" w:cs="Arial"/>
          <w:i/>
          <w:sz w:val="18"/>
          <w:szCs w:val="18"/>
        </w:rPr>
        <w:t xml:space="preserve"> 2014]</w:t>
      </w:r>
      <w:r w:rsidRPr="006C072F">
        <w:rPr>
          <w:rFonts w:ascii="Arial" w:eastAsia="Calibri" w:hAnsi="Arial" w:cs="Arial"/>
          <w:i/>
          <w:sz w:val="18"/>
          <w:szCs w:val="18"/>
        </w:rPr>
        <w:t xml:space="preserve"> http://circep.ahajournals.org/content/7/6/1237.figures-only)</w:t>
      </w:r>
    </w:p>
    <w:p w14:paraId="46D64E70" w14:textId="77777777" w:rsidR="00CE4791" w:rsidRDefault="00CE4791" w:rsidP="002C327A">
      <w:pPr>
        <w:pStyle w:val="Body"/>
        <w:rPr>
          <w:rFonts w:eastAsia="Calibri"/>
        </w:rPr>
      </w:pPr>
    </w:p>
    <w:p w14:paraId="36CDE8A7" w14:textId="1F1013DA" w:rsidR="002C327A" w:rsidRPr="005D5485" w:rsidRDefault="002C327A" w:rsidP="002C327A">
      <w:pPr>
        <w:pStyle w:val="Body"/>
        <w:rPr>
          <w:rFonts w:eastAsia="Calibri"/>
        </w:rPr>
      </w:pPr>
      <w:r w:rsidRPr="005D5485">
        <w:rPr>
          <w:rFonts w:eastAsia="Calibri"/>
        </w:rPr>
        <w:t>Looking at the block diagram, one can imagine that the clock has a range of frequencies.</w:t>
      </w:r>
      <w:r>
        <w:rPr>
          <w:rFonts w:eastAsia="Calibri"/>
        </w:rPr>
        <w:t xml:space="preserve"> </w:t>
      </w:r>
      <w:r w:rsidRPr="005D5485">
        <w:rPr>
          <w:rFonts w:eastAsia="Calibri"/>
        </w:rPr>
        <w:t xml:space="preserve">By changing the frequency </w:t>
      </w:r>
      <w:r>
        <w:rPr>
          <w:rFonts w:eastAsia="Calibri"/>
        </w:rPr>
        <w:t>(</w:t>
      </w:r>
      <w:r w:rsidRPr="005D5485">
        <w:rPr>
          <w:rFonts w:eastAsia="Calibri"/>
        </w:rPr>
        <w:t>i.e., making it different from what is initially set</w:t>
      </w:r>
      <w:r>
        <w:rPr>
          <w:rFonts w:eastAsia="Calibri"/>
        </w:rPr>
        <w:t xml:space="preserve"> </w:t>
      </w:r>
      <w:r w:rsidRPr="005D5485">
        <w:rPr>
          <w:rFonts w:eastAsia="Calibri"/>
        </w:rPr>
        <w:t>up</w:t>
      </w:r>
      <w:r>
        <w:rPr>
          <w:rFonts w:eastAsia="Calibri"/>
        </w:rPr>
        <w:t>)</w:t>
      </w:r>
      <w:r w:rsidRPr="005D5485">
        <w:rPr>
          <w:rFonts w:eastAsia="Calibri"/>
        </w:rPr>
        <w:t xml:space="preserve">, one should be able to modify the pulse patterns. </w:t>
      </w:r>
    </w:p>
    <w:p w14:paraId="14632C1B" w14:textId="77777777" w:rsidR="002C327A" w:rsidRPr="005D5485" w:rsidRDefault="002C327A" w:rsidP="002C327A">
      <w:pPr>
        <w:pStyle w:val="Body"/>
        <w:rPr>
          <w:rFonts w:eastAsia="Calibri"/>
        </w:rPr>
      </w:pPr>
      <w:r w:rsidRPr="005D5485">
        <w:rPr>
          <w:rFonts w:eastAsia="Calibri"/>
        </w:rPr>
        <w:t xml:space="preserve">We can also see that there are several ways the ICD’s performance can be modified from its intended operation. </w:t>
      </w:r>
    </w:p>
    <w:p w14:paraId="3B9FCEB1" w14:textId="77777777" w:rsidR="002C327A" w:rsidRPr="005D5485" w:rsidRDefault="002C327A" w:rsidP="002C327A">
      <w:pPr>
        <w:pStyle w:val="Body"/>
        <w:rPr>
          <w:rFonts w:eastAsia="Calibri"/>
        </w:rPr>
      </w:pPr>
      <w:r w:rsidRPr="005D5485">
        <w:rPr>
          <w:rFonts w:eastAsia="Calibri"/>
        </w:rPr>
        <w:t xml:space="preserve">Alternate modes of attack </w:t>
      </w:r>
      <w:r>
        <w:rPr>
          <w:rFonts w:eastAsia="Calibri"/>
        </w:rPr>
        <w:t>on the</w:t>
      </w:r>
      <w:r w:rsidRPr="005D5485">
        <w:rPr>
          <w:rFonts w:eastAsia="Calibri"/>
        </w:rPr>
        <w:t xml:space="preserve"> ICD:</w:t>
      </w:r>
      <w:r>
        <w:rPr>
          <w:rFonts w:eastAsia="Calibri"/>
        </w:rPr>
        <w:t xml:space="preserve"> </w:t>
      </w:r>
      <w:r w:rsidRPr="005D5485">
        <w:rPr>
          <w:rFonts w:eastAsia="Calibri"/>
        </w:rPr>
        <w:t xml:space="preserve">Change the amplifier gain, filtering parameters, rectifier parameters, change threshold. </w:t>
      </w:r>
    </w:p>
    <w:p w14:paraId="7CC92FB1" w14:textId="77777777" w:rsidR="002C327A" w:rsidRPr="005D5485" w:rsidRDefault="002C327A" w:rsidP="002C327A">
      <w:pPr>
        <w:pStyle w:val="Body"/>
        <w:rPr>
          <w:rFonts w:eastAsia="Calibri"/>
        </w:rPr>
      </w:pPr>
      <w:r w:rsidRPr="005D5485">
        <w:rPr>
          <w:rFonts w:eastAsia="Calibri"/>
        </w:rPr>
        <w:t>Based on these vulnerabilities, which are not difficult to implement (if the attacker gets some time to play with the ICDs, then he could make the changes)</w:t>
      </w:r>
      <w:r>
        <w:rPr>
          <w:rFonts w:eastAsia="Calibri"/>
        </w:rPr>
        <w:t>,</w:t>
      </w:r>
      <w:r w:rsidRPr="005D5485">
        <w:rPr>
          <w:rFonts w:eastAsia="Calibri"/>
        </w:rPr>
        <w:t xml:space="preserve"> we can easily give a high score of 4-5 for this misuse case. </w:t>
      </w:r>
    </w:p>
    <w:p w14:paraId="4D379FDF" w14:textId="77777777" w:rsidR="002C327A" w:rsidRPr="005D5485" w:rsidRDefault="002C327A" w:rsidP="002C327A">
      <w:pPr>
        <w:pStyle w:val="Body"/>
        <w:rPr>
          <w:rFonts w:eastAsia="Calibri"/>
        </w:rPr>
      </w:pPr>
      <w:r w:rsidRPr="005D5485">
        <w:rPr>
          <w:rFonts w:eastAsia="Calibri"/>
        </w:rPr>
        <w:t>What should the defender do to be prepared</w:t>
      </w:r>
      <w:r>
        <w:rPr>
          <w:rFonts w:eastAsia="Calibri"/>
        </w:rPr>
        <w:t>,</w:t>
      </w:r>
      <w:r w:rsidRPr="005D5485">
        <w:rPr>
          <w:rFonts w:eastAsia="Calibri"/>
        </w:rPr>
        <w:t xml:space="preserve"> and how much </w:t>
      </w:r>
      <w:r>
        <w:rPr>
          <w:rFonts w:eastAsia="Calibri"/>
        </w:rPr>
        <w:t xml:space="preserve">might </w:t>
      </w:r>
      <w:r w:rsidRPr="005D5485">
        <w:rPr>
          <w:rFonts w:eastAsia="Calibri"/>
        </w:rPr>
        <w:t xml:space="preserve">it cost? </w:t>
      </w:r>
    </w:p>
    <w:p w14:paraId="69FD108A" w14:textId="77777777" w:rsidR="002C327A" w:rsidRPr="005D5485" w:rsidRDefault="002C327A" w:rsidP="002C327A">
      <w:pPr>
        <w:pStyle w:val="Body"/>
        <w:rPr>
          <w:rFonts w:eastAsia="Calibri"/>
        </w:rPr>
      </w:pPr>
      <w:r w:rsidRPr="005D5485">
        <w:rPr>
          <w:rFonts w:eastAsia="Calibri"/>
        </w:rPr>
        <w:t>Consider some pulse shape verification algorithm or real-time pulse shape display so that the internal function of the chip can be continuously monitored to prevent a potential attack.</w:t>
      </w:r>
      <w:r>
        <w:rPr>
          <w:rFonts w:eastAsia="Calibri"/>
        </w:rPr>
        <w:t xml:space="preserve"> </w:t>
      </w:r>
      <w:r w:rsidRPr="005D5485">
        <w:rPr>
          <w:rFonts w:eastAsia="Calibri"/>
        </w:rPr>
        <w:t xml:space="preserve">The features are some minor changes in the programming, so it should take some time, but not too much cost if there is an internal IT team. </w:t>
      </w:r>
    </w:p>
    <w:p w14:paraId="2C7078DE" w14:textId="268BFA07" w:rsidR="002C327A" w:rsidRPr="00CE4791" w:rsidRDefault="002C327A" w:rsidP="00FF2789">
      <w:pPr>
        <w:pStyle w:val="Heading3-nonum"/>
        <w:rPr>
          <w:rFonts w:asciiTheme="minorHAnsi" w:eastAsia="Calibri" w:hAnsiTheme="minorHAnsi" w:cstheme="minorHAnsi"/>
          <w:sz w:val="24"/>
          <w:szCs w:val="24"/>
        </w:rPr>
      </w:pPr>
      <w:r w:rsidRPr="00CE4791">
        <w:rPr>
          <w:rFonts w:asciiTheme="minorHAnsi" w:eastAsia="Calibri" w:hAnsiTheme="minorHAnsi" w:cstheme="minorHAnsi"/>
          <w:sz w:val="24"/>
          <w:szCs w:val="24"/>
        </w:rPr>
        <w:t>Misuse Case Discussion: Case 2</w:t>
      </w:r>
    </w:p>
    <w:p w14:paraId="71D9A45A" w14:textId="77777777" w:rsidR="002C327A" w:rsidRPr="005D5485" w:rsidRDefault="002C327A" w:rsidP="002C327A">
      <w:pPr>
        <w:pStyle w:val="Body"/>
        <w:rPr>
          <w:rFonts w:eastAsia="Calibri"/>
        </w:rPr>
      </w:pPr>
      <w:r w:rsidRPr="005D5485">
        <w:rPr>
          <w:rFonts w:eastAsia="Calibri"/>
        </w:rPr>
        <w:t xml:space="preserve">How likely is this case? </w:t>
      </w:r>
    </w:p>
    <w:p w14:paraId="45830A61" w14:textId="77777777" w:rsidR="002C327A" w:rsidRPr="005D5485" w:rsidRDefault="002C327A" w:rsidP="002C327A">
      <w:pPr>
        <w:pStyle w:val="Body"/>
        <w:rPr>
          <w:rFonts w:eastAsia="Calibri"/>
        </w:rPr>
      </w:pPr>
      <w:r w:rsidRPr="005D5485">
        <w:rPr>
          <w:rFonts w:eastAsia="Calibri"/>
        </w:rPr>
        <w:t xml:space="preserve">The block diagram shows that the ICD has </w:t>
      </w:r>
      <w:r>
        <w:rPr>
          <w:rFonts w:eastAsia="Calibri"/>
        </w:rPr>
        <w:t>three</w:t>
      </w:r>
      <w:r w:rsidRPr="005D5485">
        <w:rPr>
          <w:rFonts w:eastAsia="Calibri"/>
        </w:rPr>
        <w:t xml:space="preserve"> main components. It is most likely that these </w:t>
      </w:r>
      <w:r>
        <w:rPr>
          <w:rFonts w:eastAsia="Calibri"/>
        </w:rPr>
        <w:t>three</w:t>
      </w:r>
      <w:r w:rsidRPr="005D5485">
        <w:rPr>
          <w:rFonts w:eastAsia="Calibri"/>
        </w:rPr>
        <w:t xml:space="preserve"> components are integrated in a single chip. If this is the case, then the chip can be replaced with a duplicate o</w:t>
      </w:r>
      <w:r>
        <w:rPr>
          <w:rFonts w:eastAsia="Calibri"/>
        </w:rPr>
        <w:t>ne that has similar components</w:t>
      </w:r>
      <w:r>
        <w:t>—</w:t>
      </w:r>
      <w:r w:rsidRPr="005D5485">
        <w:rPr>
          <w:rFonts w:eastAsia="Calibri"/>
        </w:rPr>
        <w:t>but its gains, filter</w:t>
      </w:r>
      <w:r>
        <w:rPr>
          <w:rFonts w:eastAsia="Calibri"/>
        </w:rPr>
        <w:t>,</w:t>
      </w:r>
      <w:r w:rsidRPr="005D5485">
        <w:rPr>
          <w:rFonts w:eastAsia="Calibri"/>
        </w:rPr>
        <w:t xml:space="preserve"> and rectification circuit are designed differently, so that the pulse shape is different.</w:t>
      </w:r>
      <w:r>
        <w:rPr>
          <w:rFonts w:eastAsia="Calibri"/>
        </w:rPr>
        <w:t xml:space="preserve"> </w:t>
      </w:r>
    </w:p>
    <w:p w14:paraId="4F32047A" w14:textId="77777777" w:rsidR="002C327A" w:rsidRPr="005D5485" w:rsidRDefault="002C327A" w:rsidP="002C327A">
      <w:pPr>
        <w:pStyle w:val="Body"/>
        <w:rPr>
          <w:rFonts w:eastAsia="Calibri"/>
        </w:rPr>
      </w:pPr>
      <w:r w:rsidRPr="005D5485">
        <w:rPr>
          <w:rFonts w:eastAsia="Calibri"/>
        </w:rPr>
        <w:t xml:space="preserve">Considering </w:t>
      </w:r>
      <w:r>
        <w:rPr>
          <w:rFonts w:eastAsia="Calibri"/>
        </w:rPr>
        <w:t xml:space="preserve">that </w:t>
      </w:r>
      <w:r w:rsidRPr="005D5485">
        <w:rPr>
          <w:rFonts w:eastAsia="Calibri"/>
        </w:rPr>
        <w:t xml:space="preserve">the complexity of designing a chip that </w:t>
      </w:r>
      <w:r>
        <w:rPr>
          <w:rFonts w:eastAsia="Calibri"/>
        </w:rPr>
        <w:t>perform</w:t>
      </w:r>
      <w:r w:rsidRPr="005D5485">
        <w:rPr>
          <w:rFonts w:eastAsia="Calibri"/>
        </w:rPr>
        <w:t xml:space="preserve">s similar function as the original one involves manufacturing of a new chip, we can assign the likelihood as 2-3. </w:t>
      </w:r>
    </w:p>
    <w:p w14:paraId="4CE2A2F9" w14:textId="77777777" w:rsidR="002C327A" w:rsidRPr="005D5485" w:rsidRDefault="002C327A" w:rsidP="002C327A">
      <w:pPr>
        <w:pStyle w:val="Body"/>
        <w:rPr>
          <w:rFonts w:eastAsia="Calibri"/>
        </w:rPr>
      </w:pPr>
      <w:r w:rsidRPr="005D5485">
        <w:rPr>
          <w:rFonts w:eastAsia="Calibri"/>
        </w:rPr>
        <w:lastRenderedPageBreak/>
        <w:t>What should the defender do to be prepared</w:t>
      </w:r>
      <w:r>
        <w:rPr>
          <w:rFonts w:eastAsia="Calibri"/>
        </w:rPr>
        <w:t>,</w:t>
      </w:r>
      <w:r w:rsidRPr="005D5485">
        <w:rPr>
          <w:rFonts w:eastAsia="Calibri"/>
        </w:rPr>
        <w:t xml:space="preserve"> and how much </w:t>
      </w:r>
      <w:r>
        <w:rPr>
          <w:rFonts w:eastAsia="Calibri"/>
        </w:rPr>
        <w:t xml:space="preserve">might </w:t>
      </w:r>
      <w:r w:rsidRPr="005D5485">
        <w:rPr>
          <w:rFonts w:eastAsia="Calibri"/>
        </w:rPr>
        <w:t xml:space="preserve">it cost? </w:t>
      </w:r>
    </w:p>
    <w:p w14:paraId="2D92FE74" w14:textId="77777777" w:rsidR="002C327A" w:rsidRPr="00725148" w:rsidRDefault="002C327A" w:rsidP="002C327A">
      <w:pPr>
        <w:pStyle w:val="Body"/>
        <w:rPr>
          <w:rFonts w:eastAsia="Calibri"/>
          <w:sz w:val="24"/>
          <w:szCs w:val="24"/>
        </w:rPr>
      </w:pPr>
      <w:r w:rsidRPr="00725148">
        <w:rPr>
          <w:rFonts w:eastAsia="Calibri"/>
          <w:sz w:val="24"/>
          <w:szCs w:val="24"/>
        </w:rPr>
        <w:t xml:space="preserve">The physician should be advised to physically examine each ICD internally to make sure the components are not compromised. If this is not possible for the physician, then an electronics engineer can do the inspection before the device is implanted into the patient. This additional protocol should not cost extra, it only requires planning to have the electronics engineer be present at the time of installing the ICD. </w:t>
      </w:r>
    </w:p>
    <w:p w14:paraId="7B38735E" w14:textId="77777777" w:rsidR="002C327A" w:rsidRPr="00725148" w:rsidRDefault="002C327A" w:rsidP="002C327A">
      <w:pPr>
        <w:pStyle w:val="Body"/>
        <w:rPr>
          <w:rFonts w:eastAsia="Calibri"/>
          <w:sz w:val="24"/>
          <w:szCs w:val="24"/>
        </w:rPr>
      </w:pPr>
      <w:r w:rsidRPr="00725148">
        <w:rPr>
          <w:rFonts w:eastAsia="Calibri"/>
          <w:sz w:val="24"/>
          <w:szCs w:val="24"/>
        </w:rPr>
        <w:t xml:space="preserve">For additional reading on secure ICD programming, see the review article by </w:t>
      </w:r>
      <w:proofErr w:type="spellStart"/>
      <w:r w:rsidRPr="00725148">
        <w:rPr>
          <w:rFonts w:eastAsia="Calibri"/>
          <w:sz w:val="24"/>
          <w:szCs w:val="24"/>
        </w:rPr>
        <w:t>Biffi</w:t>
      </w:r>
      <w:proofErr w:type="spellEnd"/>
      <w:r w:rsidRPr="00725148">
        <w:rPr>
          <w:rFonts w:eastAsia="Calibri"/>
          <w:sz w:val="24"/>
          <w:szCs w:val="24"/>
        </w:rPr>
        <w:t xml:space="preserve"> [</w:t>
      </w:r>
      <w:proofErr w:type="spellStart"/>
      <w:r w:rsidRPr="00725148">
        <w:rPr>
          <w:rFonts w:eastAsia="Calibri"/>
          <w:color w:val="auto"/>
          <w:sz w:val="24"/>
          <w:szCs w:val="24"/>
        </w:rPr>
        <w:t>Biffi</w:t>
      </w:r>
      <w:proofErr w:type="spellEnd"/>
      <w:r w:rsidRPr="00725148">
        <w:rPr>
          <w:rFonts w:eastAsia="Calibri"/>
          <w:color w:val="auto"/>
          <w:sz w:val="24"/>
          <w:szCs w:val="24"/>
        </w:rPr>
        <w:t xml:space="preserve"> 2014]. </w:t>
      </w:r>
    </w:p>
    <w:p w14:paraId="3FAEC513" w14:textId="77777777" w:rsidR="002C327A" w:rsidRPr="005D5485" w:rsidRDefault="002C327A" w:rsidP="002C327A">
      <w:pPr>
        <w:pStyle w:val="FigureAnchor"/>
        <w:rPr>
          <w:rFonts w:eastAsia="Calibri"/>
        </w:rPr>
      </w:pPr>
      <w:r>
        <w:rPr>
          <w:noProof/>
        </w:rPr>
        <w:drawing>
          <wp:inline distT="0" distB="0" distL="0" distR="0" wp14:anchorId="55948031" wp14:editId="3D06C92B">
            <wp:extent cx="5257800" cy="3718165"/>
            <wp:effectExtent l="0" t="0" r="0" b="0"/>
            <wp:docPr id="24" name="Picture 24" descr="https://servicedesk.sei.cmu.edu/jira/secure/attachment/50265/sima-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ervicedesk.sei.cmu.edu/jira/secure/attachment/50265/sima-new.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57800" cy="3718165"/>
                    </a:xfrm>
                    <a:prstGeom prst="rect">
                      <a:avLst/>
                    </a:prstGeom>
                    <a:noFill/>
                    <a:ln>
                      <a:noFill/>
                    </a:ln>
                  </pic:spPr>
                </pic:pic>
              </a:graphicData>
            </a:graphic>
          </wp:inline>
        </w:drawing>
      </w:r>
    </w:p>
    <w:p w14:paraId="2ECB4158" w14:textId="65B79857" w:rsidR="002C327A" w:rsidRDefault="002C327A" w:rsidP="002C327A">
      <w:pPr>
        <w:pStyle w:val="Caption"/>
      </w:pPr>
      <w:bookmarkStart w:id="5" w:name="_Ref500939266"/>
      <w:bookmarkStart w:id="6" w:name="_Toc505084212"/>
      <w:r>
        <w:t xml:space="preserve">Figure </w:t>
      </w:r>
      <w:r w:rsidR="005F2216">
        <w:t>3</w:t>
      </w:r>
      <w:r>
        <w:fldChar w:fldCharType="begin"/>
      </w:r>
      <w:r>
        <w:instrText xml:space="preserve"> SEQ Figure \* ARABIC </w:instrText>
      </w:r>
      <w:r>
        <w:fldChar w:fldCharType="end"/>
      </w:r>
      <w:bookmarkEnd w:id="5"/>
      <w:r>
        <w:rPr>
          <w:noProof/>
        </w:rPr>
        <w:t>:</w:t>
      </w:r>
      <w:r>
        <w:tab/>
      </w:r>
      <w:proofErr w:type="spellStart"/>
      <w:r>
        <w:t>PnG</w:t>
      </w:r>
      <w:proofErr w:type="spellEnd"/>
      <w:r>
        <w:t xml:space="preserve"> Software Developer and Tester</w:t>
      </w:r>
      <w:bookmarkEnd w:id="6"/>
    </w:p>
    <w:p w14:paraId="7FDDDB4B" w14:textId="77777777" w:rsidR="00CE4791" w:rsidRDefault="00CE4791" w:rsidP="002C327A">
      <w:pPr>
        <w:pStyle w:val="Heading3-nonum"/>
        <w:rPr>
          <w:rFonts w:asciiTheme="minorHAnsi" w:eastAsia="Calibri" w:hAnsiTheme="minorHAnsi" w:cstheme="minorHAnsi"/>
          <w:kern w:val="32"/>
          <w:sz w:val="22"/>
          <w:szCs w:val="18"/>
        </w:rPr>
      </w:pPr>
    </w:p>
    <w:p w14:paraId="4696A5D5" w14:textId="335FDE3F" w:rsidR="002C327A" w:rsidRPr="00CE4791" w:rsidRDefault="002C327A" w:rsidP="002C327A">
      <w:pPr>
        <w:pStyle w:val="Heading3-nonum"/>
        <w:rPr>
          <w:rFonts w:asciiTheme="minorHAnsi" w:eastAsia="Calibri" w:hAnsiTheme="minorHAnsi" w:cstheme="minorHAnsi"/>
          <w:kern w:val="32"/>
          <w:sz w:val="24"/>
        </w:rPr>
      </w:pPr>
      <w:r w:rsidRPr="00CE4791">
        <w:rPr>
          <w:rFonts w:asciiTheme="minorHAnsi" w:eastAsia="Calibri" w:hAnsiTheme="minorHAnsi" w:cstheme="minorHAnsi"/>
          <w:kern w:val="32"/>
          <w:sz w:val="24"/>
        </w:rPr>
        <w:t>Misuse Cases</w:t>
      </w:r>
    </w:p>
    <w:p w14:paraId="1C64C68E" w14:textId="108F71FA" w:rsidR="002C327A" w:rsidRPr="00CE4791" w:rsidRDefault="002C327A" w:rsidP="002C327A">
      <w:pPr>
        <w:pStyle w:val="Body"/>
        <w:rPr>
          <w:rFonts w:eastAsia="Calibri"/>
          <w:sz w:val="24"/>
          <w:szCs w:val="24"/>
        </w:rPr>
      </w:pPr>
      <w:r w:rsidRPr="00CE4791">
        <w:rPr>
          <w:rFonts w:eastAsia="Calibri"/>
          <w:sz w:val="24"/>
          <w:szCs w:val="24"/>
        </w:rPr>
        <w:t xml:space="preserve">The </w:t>
      </w:r>
      <w:proofErr w:type="spellStart"/>
      <w:r w:rsidRPr="00CE4791">
        <w:rPr>
          <w:rFonts w:eastAsia="Calibri"/>
          <w:sz w:val="24"/>
          <w:szCs w:val="24"/>
        </w:rPr>
        <w:t>PnG</w:t>
      </w:r>
      <w:proofErr w:type="spellEnd"/>
      <w:r w:rsidRPr="00CE4791">
        <w:rPr>
          <w:rFonts w:eastAsia="Calibri"/>
          <w:sz w:val="24"/>
          <w:szCs w:val="24"/>
        </w:rPr>
        <w:t xml:space="preserve"> profile in </w:t>
      </w:r>
      <w:r w:rsidR="005F2216">
        <w:rPr>
          <w:rFonts w:eastAsia="Calibri"/>
          <w:sz w:val="24"/>
          <w:szCs w:val="24"/>
        </w:rPr>
        <w:t xml:space="preserve">Figure 3 </w:t>
      </w:r>
      <w:r w:rsidRPr="00CE4791">
        <w:rPr>
          <w:rFonts w:eastAsia="Calibri"/>
          <w:sz w:val="24"/>
          <w:szCs w:val="24"/>
        </w:rPr>
        <w:t>lists the following Misuse Cases:</w:t>
      </w:r>
    </w:p>
    <w:p w14:paraId="6121F7D2" w14:textId="73896168" w:rsidR="002C327A" w:rsidRPr="00CE4791" w:rsidRDefault="002C327A" w:rsidP="002C327A">
      <w:pPr>
        <w:pStyle w:val="ListNumbered1"/>
        <w:numPr>
          <w:ilvl w:val="0"/>
          <w:numId w:val="33"/>
        </w:numPr>
        <w:tabs>
          <w:tab w:val="clear" w:pos="216"/>
        </w:tabs>
        <w:rPr>
          <w:sz w:val="24"/>
          <w:szCs w:val="24"/>
        </w:rPr>
      </w:pPr>
      <w:r w:rsidRPr="00CE4791">
        <w:rPr>
          <w:sz w:val="24"/>
          <w:szCs w:val="24"/>
        </w:rPr>
        <w:t xml:space="preserve">Report that the new software has passed most of the key testing components; hide the dangerous </w:t>
      </w:r>
      <w:r w:rsidR="00561ACB" w:rsidRPr="00CE4791">
        <w:rPr>
          <w:sz w:val="24"/>
          <w:szCs w:val="24"/>
        </w:rPr>
        <w:t>bugs but</w:t>
      </w:r>
      <w:r w:rsidRPr="00CE4791">
        <w:rPr>
          <w:sz w:val="24"/>
          <w:szCs w:val="24"/>
        </w:rPr>
        <w:t xml:space="preserve"> report only minor bugs. </w:t>
      </w:r>
    </w:p>
    <w:p w14:paraId="6F2D2301" w14:textId="77777777" w:rsidR="002C327A" w:rsidRPr="00CE4791" w:rsidRDefault="002C327A" w:rsidP="002C327A">
      <w:pPr>
        <w:pStyle w:val="ListNumbered1"/>
        <w:numPr>
          <w:ilvl w:val="0"/>
          <w:numId w:val="33"/>
        </w:numPr>
        <w:tabs>
          <w:tab w:val="clear" w:pos="216"/>
        </w:tabs>
        <w:rPr>
          <w:sz w:val="24"/>
          <w:szCs w:val="24"/>
        </w:rPr>
      </w:pPr>
      <w:r w:rsidRPr="00CE4791">
        <w:rPr>
          <w:sz w:val="24"/>
          <w:szCs w:val="24"/>
        </w:rPr>
        <w:t xml:space="preserve">Add more bugs to the code after the testing of the code, either directly or indirectly, but before release. </w:t>
      </w:r>
    </w:p>
    <w:p w14:paraId="1905707F" w14:textId="77777777" w:rsidR="00001078" w:rsidRPr="00CE4791" w:rsidRDefault="00001078" w:rsidP="00A6150B">
      <w:pPr>
        <w:pStyle w:val="NoSpacing"/>
        <w:rPr>
          <w:rFonts w:eastAsia="Arial"/>
          <w:sz w:val="32"/>
          <w:szCs w:val="32"/>
        </w:rPr>
      </w:pPr>
    </w:p>
    <w:p w14:paraId="1407AD17" w14:textId="77777777" w:rsidR="00CC301E" w:rsidRDefault="00CC301E">
      <w:pPr>
        <w:spacing w:after="160" w:line="259" w:lineRule="auto"/>
        <w:rPr>
          <w:rFonts w:asciiTheme="majorHAnsi" w:eastAsia="Arial" w:hAnsiTheme="majorHAnsi" w:cstheme="majorBidi"/>
          <w:b/>
          <w:bCs/>
          <w:color w:val="1F4D78" w:themeColor="accent1" w:themeShade="7F"/>
          <w:sz w:val="24"/>
          <w:szCs w:val="24"/>
        </w:rPr>
      </w:pPr>
      <w:r>
        <w:rPr>
          <w:rFonts w:eastAsia="Arial"/>
          <w:b/>
          <w:bCs/>
        </w:rPr>
        <w:br w:type="page"/>
      </w:r>
    </w:p>
    <w:p w14:paraId="00B97522" w14:textId="242AABA5" w:rsidR="00001078" w:rsidRPr="00550D22" w:rsidRDefault="00001078" w:rsidP="00550D22">
      <w:pPr>
        <w:pStyle w:val="Heading3"/>
        <w:rPr>
          <w:rFonts w:eastAsia="Arial"/>
          <w:b/>
          <w:bCs/>
        </w:rPr>
      </w:pPr>
      <w:r w:rsidRPr="00550D22">
        <w:rPr>
          <w:rFonts w:eastAsia="Arial"/>
          <w:b/>
          <w:bCs/>
        </w:rPr>
        <w:lastRenderedPageBreak/>
        <w:t>References</w:t>
      </w:r>
    </w:p>
    <w:p w14:paraId="2CF86DF5" w14:textId="77777777" w:rsidR="00725148" w:rsidRPr="00725148" w:rsidRDefault="00725148" w:rsidP="00725148">
      <w:pPr>
        <w:rPr>
          <w:rFonts w:eastAsia="Calibri"/>
          <w:b/>
          <w:color w:val="000000"/>
          <w:kern w:val="22"/>
          <w:sz w:val="24"/>
          <w:szCs w:val="24"/>
        </w:rPr>
      </w:pPr>
      <w:proofErr w:type="spellStart"/>
      <w:r w:rsidRPr="00725148">
        <w:rPr>
          <w:rFonts w:eastAsia="Calibri"/>
          <w:color w:val="000000"/>
          <w:kern w:val="22"/>
          <w:sz w:val="24"/>
          <w:szCs w:val="22"/>
        </w:rPr>
        <w:t>Biffi</w:t>
      </w:r>
      <w:proofErr w:type="spellEnd"/>
      <w:r w:rsidRPr="00725148">
        <w:rPr>
          <w:rFonts w:eastAsia="Calibri"/>
          <w:color w:val="000000"/>
          <w:kern w:val="22"/>
          <w:sz w:val="24"/>
          <w:szCs w:val="22"/>
        </w:rPr>
        <w:t xml:space="preserve">, M. ICD Programming. </w:t>
      </w:r>
      <w:r w:rsidRPr="00725148">
        <w:rPr>
          <w:rFonts w:eastAsia="Calibri"/>
          <w:i/>
          <w:color w:val="000000"/>
          <w:kern w:val="22"/>
          <w:sz w:val="24"/>
          <w:szCs w:val="22"/>
        </w:rPr>
        <w:t>Indian Heart Journal</w:t>
      </w:r>
      <w:r w:rsidRPr="00725148">
        <w:rPr>
          <w:rFonts w:eastAsia="Calibri"/>
          <w:color w:val="000000"/>
          <w:kern w:val="22"/>
          <w:sz w:val="24"/>
          <w:szCs w:val="22"/>
        </w:rPr>
        <w:t xml:space="preserve">. Volume 66. S88-S100. </w:t>
      </w:r>
      <w:proofErr w:type="gramStart"/>
      <w:r w:rsidRPr="00725148">
        <w:rPr>
          <w:rFonts w:eastAsia="Calibri"/>
          <w:color w:val="000000"/>
          <w:kern w:val="22"/>
          <w:sz w:val="24"/>
          <w:szCs w:val="22"/>
        </w:rPr>
        <w:t>January,</w:t>
      </w:r>
      <w:proofErr w:type="gramEnd"/>
      <w:r w:rsidRPr="00725148">
        <w:rPr>
          <w:rFonts w:eastAsia="Calibri"/>
          <w:color w:val="000000"/>
          <w:kern w:val="22"/>
          <w:sz w:val="24"/>
          <w:szCs w:val="22"/>
        </w:rPr>
        <w:t xml:space="preserve"> 2014. DOI:</w:t>
      </w:r>
      <w:hyperlink r:id="rId14" w:tgtFrame="pmc_ext" w:history="1">
        <w:r w:rsidRPr="00725148">
          <w:rPr>
            <w:rFonts w:eastAsia="Calibri"/>
            <w:color w:val="000000"/>
            <w:kern w:val="22"/>
            <w:sz w:val="24"/>
            <w:szCs w:val="22"/>
          </w:rPr>
          <w:t>10.1016/j.ihj.2013.11.007</w:t>
        </w:r>
      </w:hyperlink>
      <w:r w:rsidRPr="00725148">
        <w:rPr>
          <w:rFonts w:eastAsia="Calibri"/>
          <w:color w:val="000000"/>
          <w:kern w:val="22"/>
          <w:sz w:val="24"/>
          <w:szCs w:val="22"/>
        </w:rPr>
        <w:t>.</w:t>
      </w:r>
      <w:r w:rsidRPr="00725148" w:rsidDel="0099423C">
        <w:rPr>
          <w:rFonts w:eastAsia="Calibri"/>
          <w:b/>
          <w:color w:val="000000"/>
          <w:kern w:val="22"/>
          <w:sz w:val="24"/>
          <w:szCs w:val="24"/>
        </w:rPr>
        <w:t xml:space="preserve"> </w:t>
      </w:r>
    </w:p>
    <w:p w14:paraId="38D7F39A" w14:textId="77777777" w:rsidR="00725148" w:rsidRDefault="00725148" w:rsidP="00DA1C10">
      <w:pPr>
        <w:pStyle w:val="Body"/>
        <w:spacing w:before="0" w:after="0" w:line="240" w:lineRule="auto"/>
        <w:rPr>
          <w:sz w:val="24"/>
          <w:szCs w:val="24"/>
        </w:rPr>
      </w:pPr>
    </w:p>
    <w:p w14:paraId="17DB6514" w14:textId="54D2DF93" w:rsidR="00DA1C10" w:rsidRPr="00DA1C10" w:rsidRDefault="00DA1C10" w:rsidP="00DA1C10">
      <w:pPr>
        <w:pStyle w:val="Body"/>
        <w:spacing w:before="0" w:after="0" w:line="240" w:lineRule="auto"/>
        <w:rPr>
          <w:sz w:val="24"/>
          <w:szCs w:val="24"/>
        </w:rPr>
      </w:pPr>
      <w:r w:rsidRPr="00DA1C10">
        <w:rPr>
          <w:sz w:val="24"/>
          <w:szCs w:val="24"/>
        </w:rPr>
        <w:t xml:space="preserve">Mead, Nancy; Shull, Forrest; Spears, Janine; </w:t>
      </w:r>
      <w:proofErr w:type="spellStart"/>
      <w:r w:rsidRPr="00DA1C10">
        <w:rPr>
          <w:sz w:val="24"/>
          <w:szCs w:val="24"/>
        </w:rPr>
        <w:t>Hiebl</w:t>
      </w:r>
      <w:proofErr w:type="spellEnd"/>
      <w:r w:rsidRPr="00DA1C10">
        <w:rPr>
          <w:sz w:val="24"/>
          <w:szCs w:val="24"/>
        </w:rPr>
        <w:t xml:space="preserve">, Stefan; Weber, Sam; &amp; Cleland-Huang, Jane. Crowd Sourcing the Creation of Personae Non </w:t>
      </w:r>
      <w:proofErr w:type="spellStart"/>
      <w:r w:rsidRPr="00DA1C10">
        <w:rPr>
          <w:sz w:val="24"/>
          <w:szCs w:val="24"/>
        </w:rPr>
        <w:t>Gratae</w:t>
      </w:r>
      <w:proofErr w:type="spellEnd"/>
      <w:r w:rsidRPr="00DA1C10">
        <w:rPr>
          <w:sz w:val="24"/>
          <w:szCs w:val="24"/>
        </w:rPr>
        <w:t xml:space="preserve"> for Requirements</w:t>
      </w:r>
      <w:r w:rsidRPr="00DA1C10">
        <w:rPr>
          <w:b/>
          <w:sz w:val="24"/>
          <w:szCs w:val="24"/>
        </w:rPr>
        <w:t>-</w:t>
      </w:r>
      <w:r w:rsidRPr="00DA1C10">
        <w:rPr>
          <w:sz w:val="24"/>
          <w:szCs w:val="24"/>
        </w:rPr>
        <w:t xml:space="preserve">Phase Threat Modeling. Pages 404–409. </w:t>
      </w:r>
      <w:r w:rsidRPr="00DA1C10">
        <w:rPr>
          <w:i/>
          <w:sz w:val="24"/>
          <w:szCs w:val="24"/>
        </w:rPr>
        <w:t>IEEE International Requirements Engineering Conference Proceedings</w:t>
      </w:r>
      <w:r w:rsidRPr="00DA1C10">
        <w:rPr>
          <w:sz w:val="24"/>
          <w:szCs w:val="24"/>
        </w:rPr>
        <w:t>. September 2017. DOI 10.1109/RE.2017.63.</w:t>
      </w:r>
    </w:p>
    <w:p w14:paraId="20D1F41A" w14:textId="77777777" w:rsidR="00DA1C10" w:rsidRDefault="00DA1C10" w:rsidP="00A6150B">
      <w:pPr>
        <w:pStyle w:val="NoSpacing"/>
        <w:rPr>
          <w:rFonts w:eastAsia="Arial"/>
          <w:sz w:val="24"/>
          <w:szCs w:val="24"/>
        </w:rPr>
      </w:pPr>
    </w:p>
    <w:p w14:paraId="6721D2E1" w14:textId="115FEA02" w:rsidR="00001078" w:rsidRDefault="00541456" w:rsidP="00A6150B">
      <w:pPr>
        <w:pStyle w:val="NoSpacing"/>
        <w:rPr>
          <w:rFonts w:eastAsia="Arial"/>
          <w:sz w:val="24"/>
          <w:szCs w:val="24"/>
        </w:rPr>
      </w:pPr>
      <w:r>
        <w:rPr>
          <w:rFonts w:eastAsia="Arial"/>
          <w:sz w:val="24"/>
          <w:szCs w:val="24"/>
        </w:rPr>
        <w:t xml:space="preserve">Mead, N. R., Shull, F., </w:t>
      </w:r>
      <w:proofErr w:type="spellStart"/>
      <w:r>
        <w:rPr>
          <w:rFonts w:eastAsia="Arial"/>
          <w:sz w:val="24"/>
          <w:szCs w:val="24"/>
        </w:rPr>
        <w:t>Vemuru</w:t>
      </w:r>
      <w:proofErr w:type="spellEnd"/>
      <w:r>
        <w:rPr>
          <w:rFonts w:eastAsia="Arial"/>
          <w:sz w:val="24"/>
          <w:szCs w:val="24"/>
        </w:rPr>
        <w:t xml:space="preserve">, K., and </w:t>
      </w:r>
      <w:proofErr w:type="spellStart"/>
      <w:r>
        <w:rPr>
          <w:rFonts w:eastAsia="Arial"/>
          <w:sz w:val="24"/>
          <w:szCs w:val="24"/>
        </w:rPr>
        <w:t>Villadsen</w:t>
      </w:r>
      <w:proofErr w:type="spellEnd"/>
      <w:r>
        <w:rPr>
          <w:rFonts w:eastAsia="Arial"/>
          <w:sz w:val="24"/>
          <w:szCs w:val="24"/>
        </w:rPr>
        <w:t xml:space="preserve">, O. </w:t>
      </w:r>
      <w:r w:rsidR="00B7466E">
        <w:rPr>
          <w:rFonts w:eastAsia="Arial"/>
          <w:sz w:val="24"/>
          <w:szCs w:val="24"/>
        </w:rPr>
        <w:t>“</w:t>
      </w:r>
      <w:r>
        <w:rPr>
          <w:rFonts w:eastAsia="Arial"/>
          <w:sz w:val="24"/>
          <w:szCs w:val="24"/>
        </w:rPr>
        <w:t>A Hybrid Threat Modeling Method.</w:t>
      </w:r>
      <w:r w:rsidR="00B7466E">
        <w:rPr>
          <w:rFonts w:eastAsia="Arial"/>
          <w:sz w:val="24"/>
          <w:szCs w:val="24"/>
        </w:rPr>
        <w:t>”</w:t>
      </w:r>
      <w:r>
        <w:rPr>
          <w:rFonts w:eastAsia="Arial"/>
          <w:sz w:val="24"/>
          <w:szCs w:val="24"/>
        </w:rPr>
        <w:t xml:space="preserve"> </w:t>
      </w:r>
      <w:r w:rsidRPr="00B7466E">
        <w:rPr>
          <w:rFonts w:eastAsia="Arial"/>
          <w:i/>
          <w:iCs/>
          <w:sz w:val="24"/>
          <w:szCs w:val="24"/>
        </w:rPr>
        <w:t>Carnegie Mellon University Software Engineering Institute</w:t>
      </w:r>
      <w:r>
        <w:rPr>
          <w:rFonts w:eastAsia="Arial"/>
          <w:sz w:val="24"/>
          <w:szCs w:val="24"/>
        </w:rPr>
        <w:t>.</w:t>
      </w:r>
      <w:r w:rsidR="00B7466E">
        <w:rPr>
          <w:rFonts w:eastAsia="Arial"/>
          <w:sz w:val="24"/>
          <w:szCs w:val="24"/>
        </w:rPr>
        <w:t xml:space="preserve"> 2018. </w:t>
      </w:r>
      <w:hyperlink r:id="rId15" w:history="1">
        <w:r w:rsidR="00B7466E" w:rsidRPr="001454C3">
          <w:rPr>
            <w:rStyle w:val="Hyperlink"/>
            <w:rFonts w:eastAsia="Arial"/>
            <w:sz w:val="24"/>
            <w:szCs w:val="24"/>
          </w:rPr>
          <w:t>https://resources.sei.cmu.edu/asset_files/TechnicalNote/2018_004_001_516627.pdf</w:t>
        </w:r>
      </w:hyperlink>
      <w:r>
        <w:rPr>
          <w:rFonts w:eastAsia="Arial"/>
          <w:sz w:val="24"/>
          <w:szCs w:val="24"/>
        </w:rPr>
        <w:t xml:space="preserve"> </w:t>
      </w:r>
    </w:p>
    <w:p w14:paraId="27A105A7" w14:textId="6762909D" w:rsidR="00DA1C10" w:rsidRDefault="00DA1C10" w:rsidP="00A6150B">
      <w:pPr>
        <w:pStyle w:val="NoSpacing"/>
        <w:rPr>
          <w:rFonts w:eastAsia="Arial"/>
          <w:sz w:val="24"/>
          <w:szCs w:val="24"/>
        </w:rPr>
      </w:pPr>
    </w:p>
    <w:p w14:paraId="1E3028AB" w14:textId="77777777" w:rsidR="00DA1C10" w:rsidRPr="00DA1C10" w:rsidRDefault="00DA1C10" w:rsidP="00DA1C10">
      <w:pPr>
        <w:pStyle w:val="Body"/>
        <w:spacing w:before="0" w:after="0" w:line="240" w:lineRule="auto"/>
        <w:rPr>
          <w:sz w:val="24"/>
          <w:szCs w:val="24"/>
        </w:rPr>
      </w:pPr>
      <w:r w:rsidRPr="00DA1C10">
        <w:rPr>
          <w:sz w:val="24"/>
          <w:szCs w:val="24"/>
        </w:rPr>
        <w:t xml:space="preserve">Nielsen, L. Personas – User Focused Design. </w:t>
      </w:r>
      <w:r w:rsidRPr="00DA1C10">
        <w:rPr>
          <w:i/>
          <w:sz w:val="24"/>
          <w:szCs w:val="24"/>
        </w:rPr>
        <w:t>Human-Computer Interaction Series</w:t>
      </w:r>
      <w:r w:rsidRPr="00DA1C10">
        <w:rPr>
          <w:sz w:val="24"/>
          <w:szCs w:val="24"/>
        </w:rPr>
        <w:t>. Volume 15. Springer, 2013.</w:t>
      </w:r>
    </w:p>
    <w:p w14:paraId="1412F6EE" w14:textId="3697CBAC" w:rsidR="00B7466E" w:rsidRDefault="00B7466E" w:rsidP="00A6150B">
      <w:pPr>
        <w:pStyle w:val="NoSpacing"/>
        <w:rPr>
          <w:rFonts w:eastAsia="Arial"/>
          <w:sz w:val="24"/>
          <w:szCs w:val="24"/>
        </w:rPr>
      </w:pPr>
    </w:p>
    <w:p w14:paraId="786D5CB3" w14:textId="613D826E" w:rsidR="00B7466E" w:rsidRDefault="00B7466E" w:rsidP="00A6150B">
      <w:pPr>
        <w:pStyle w:val="NoSpacing"/>
        <w:rPr>
          <w:rFonts w:eastAsia="Arial"/>
          <w:sz w:val="24"/>
          <w:szCs w:val="24"/>
        </w:rPr>
      </w:pPr>
      <w:proofErr w:type="spellStart"/>
      <w:r w:rsidRPr="00B7466E">
        <w:rPr>
          <w:rFonts w:eastAsia="Arial"/>
          <w:sz w:val="24"/>
          <w:szCs w:val="24"/>
        </w:rPr>
        <w:t>Opdahl</w:t>
      </w:r>
      <w:proofErr w:type="spellEnd"/>
      <w:r w:rsidRPr="00B7466E">
        <w:rPr>
          <w:rFonts w:eastAsia="Arial"/>
          <w:sz w:val="24"/>
          <w:szCs w:val="24"/>
        </w:rPr>
        <w:t xml:space="preserve">, A. L. &amp; </w:t>
      </w:r>
      <w:proofErr w:type="spellStart"/>
      <w:r w:rsidRPr="00B7466E">
        <w:rPr>
          <w:rFonts w:eastAsia="Arial"/>
          <w:sz w:val="24"/>
          <w:szCs w:val="24"/>
        </w:rPr>
        <w:t>Sindre</w:t>
      </w:r>
      <w:proofErr w:type="spellEnd"/>
      <w:r w:rsidRPr="00B7466E">
        <w:rPr>
          <w:rFonts w:eastAsia="Arial"/>
          <w:sz w:val="24"/>
          <w:szCs w:val="24"/>
        </w:rPr>
        <w:t xml:space="preserve">, G. “Experimental comparison of attack trees and misuse cases for </w:t>
      </w:r>
      <w:proofErr w:type="spellStart"/>
      <w:r w:rsidRPr="00B7466E">
        <w:rPr>
          <w:rFonts w:eastAsia="Arial"/>
          <w:sz w:val="24"/>
          <w:szCs w:val="24"/>
        </w:rPr>
        <w:t>secu-rity</w:t>
      </w:r>
      <w:proofErr w:type="spellEnd"/>
      <w:r w:rsidRPr="00B7466E">
        <w:rPr>
          <w:rFonts w:eastAsia="Arial"/>
          <w:sz w:val="24"/>
          <w:szCs w:val="24"/>
        </w:rPr>
        <w:t xml:space="preserve"> threat identification.” </w:t>
      </w:r>
      <w:r w:rsidRPr="00FF21C4">
        <w:rPr>
          <w:rFonts w:eastAsia="Arial"/>
          <w:i/>
          <w:iCs/>
          <w:sz w:val="24"/>
          <w:szCs w:val="24"/>
        </w:rPr>
        <w:t>Information &amp; Software Technology</w:t>
      </w:r>
      <w:r w:rsidRPr="00B7466E">
        <w:rPr>
          <w:rFonts w:eastAsia="Arial"/>
          <w:sz w:val="24"/>
          <w:szCs w:val="24"/>
        </w:rPr>
        <w:t>. Volume 51. Number 5. 2009. Pages 916–932. 2009.</w:t>
      </w:r>
    </w:p>
    <w:p w14:paraId="0FC19AE5" w14:textId="0A2317B8" w:rsidR="00DA1C10" w:rsidRDefault="00DA1C10" w:rsidP="00A6150B">
      <w:pPr>
        <w:pStyle w:val="NoSpacing"/>
        <w:rPr>
          <w:rFonts w:eastAsia="Arial"/>
          <w:sz w:val="24"/>
          <w:szCs w:val="24"/>
        </w:rPr>
      </w:pPr>
    </w:p>
    <w:p w14:paraId="78170A6F" w14:textId="77777777" w:rsidR="00DA1C10" w:rsidRPr="00DA1C10" w:rsidRDefault="00DA1C10" w:rsidP="00DA1C10">
      <w:pPr>
        <w:pStyle w:val="Bib-Entry"/>
        <w:rPr>
          <w:sz w:val="24"/>
          <w:szCs w:val="22"/>
        </w:rPr>
      </w:pPr>
      <w:r w:rsidRPr="00DA1C10">
        <w:rPr>
          <w:sz w:val="24"/>
          <w:szCs w:val="22"/>
        </w:rPr>
        <w:t xml:space="preserve">Putnam, C.; Kolko, B. E.; &amp; Wood, S. Communicating about users in ICTD: leveraging HCI personas. </w:t>
      </w:r>
      <w:r w:rsidRPr="00DA1C10">
        <w:rPr>
          <w:i/>
          <w:sz w:val="24"/>
          <w:szCs w:val="22"/>
        </w:rPr>
        <w:t>Proceedings of the Fifth International Conference on Information and Communication Technologies (ICTD 2012)</w:t>
      </w:r>
      <w:r w:rsidRPr="00DA1C10">
        <w:rPr>
          <w:sz w:val="24"/>
          <w:szCs w:val="22"/>
        </w:rPr>
        <w:t xml:space="preserve">. Atlanta, Georgia. March 2012. Pages 338–349. </w:t>
      </w:r>
    </w:p>
    <w:p w14:paraId="7F5196E7" w14:textId="77777777" w:rsidR="00DA1C10" w:rsidRDefault="00DA1C10" w:rsidP="00A6150B">
      <w:pPr>
        <w:pStyle w:val="NoSpacing"/>
        <w:rPr>
          <w:rFonts w:eastAsia="Arial"/>
          <w:sz w:val="24"/>
          <w:szCs w:val="24"/>
        </w:rPr>
      </w:pPr>
    </w:p>
    <w:p w14:paraId="2F576D35" w14:textId="5D1E25FE" w:rsidR="007A2C66" w:rsidRDefault="007A2C66" w:rsidP="007A2C66">
      <w:pPr>
        <w:pStyle w:val="NoSpacing"/>
        <w:rPr>
          <w:rFonts w:eastAsia="Arial"/>
          <w:sz w:val="24"/>
          <w:szCs w:val="24"/>
        </w:rPr>
      </w:pPr>
      <w:r w:rsidRPr="007A2C66">
        <w:rPr>
          <w:rFonts w:eastAsia="Arial"/>
          <w:sz w:val="24"/>
          <w:szCs w:val="24"/>
        </w:rPr>
        <w:t xml:space="preserve">Shull, F. &amp; Mead, N. Cyber Threat Modeling: An Evaluation of Three Methods. </w:t>
      </w:r>
      <w:r w:rsidRPr="0025346B">
        <w:rPr>
          <w:rFonts w:eastAsia="Arial"/>
          <w:i/>
          <w:iCs/>
          <w:sz w:val="24"/>
          <w:szCs w:val="24"/>
        </w:rPr>
        <w:t>SEI Blog</w:t>
      </w:r>
      <w:r w:rsidRPr="007A2C66">
        <w:rPr>
          <w:rFonts w:eastAsia="Arial"/>
          <w:sz w:val="24"/>
          <w:szCs w:val="24"/>
        </w:rPr>
        <w:t>. No-</w:t>
      </w:r>
      <w:proofErr w:type="spellStart"/>
      <w:r w:rsidRPr="007A2C66">
        <w:rPr>
          <w:rFonts w:eastAsia="Arial"/>
          <w:sz w:val="24"/>
          <w:szCs w:val="24"/>
        </w:rPr>
        <w:t>vember</w:t>
      </w:r>
      <w:proofErr w:type="spellEnd"/>
      <w:r w:rsidRPr="007A2C66">
        <w:rPr>
          <w:rFonts w:eastAsia="Arial"/>
          <w:sz w:val="24"/>
          <w:szCs w:val="24"/>
        </w:rPr>
        <w:t xml:space="preserve"> 11, 2016. </w:t>
      </w:r>
      <w:hyperlink r:id="rId16" w:history="1">
        <w:r w:rsidRPr="001454C3">
          <w:rPr>
            <w:rStyle w:val="Hyperlink"/>
            <w:rFonts w:eastAsia="Arial"/>
            <w:sz w:val="24"/>
            <w:szCs w:val="24"/>
          </w:rPr>
          <w:t>https://insights.sei.cmu.edu/sei_blog/2016/11/cyber-threat-modeling-an-evaluation-of-three-methods.html</w:t>
        </w:r>
      </w:hyperlink>
      <w:r>
        <w:rPr>
          <w:rFonts w:eastAsia="Arial"/>
          <w:sz w:val="24"/>
          <w:szCs w:val="24"/>
        </w:rPr>
        <w:t xml:space="preserve"> </w:t>
      </w:r>
    </w:p>
    <w:p w14:paraId="1148451E" w14:textId="77777777" w:rsidR="007A2C66" w:rsidRDefault="007A2C66" w:rsidP="007A2C66">
      <w:pPr>
        <w:pStyle w:val="NoSpacing"/>
        <w:rPr>
          <w:rFonts w:eastAsia="Arial"/>
          <w:sz w:val="24"/>
          <w:szCs w:val="24"/>
        </w:rPr>
      </w:pPr>
    </w:p>
    <w:p w14:paraId="3EB1B532" w14:textId="77777777" w:rsidR="00A6150B" w:rsidRDefault="00A6150B" w:rsidP="00A6150B">
      <w:pPr>
        <w:pStyle w:val="NoSpacing"/>
        <w:rPr>
          <w:rFonts w:eastAsia="Arial"/>
          <w:sz w:val="24"/>
          <w:szCs w:val="24"/>
        </w:rPr>
      </w:pPr>
    </w:p>
    <w:p w14:paraId="42810B4B" w14:textId="77777777" w:rsidR="00A6150B" w:rsidRPr="00583B22" w:rsidRDefault="00A6150B" w:rsidP="00A6150B">
      <w:pPr>
        <w:pStyle w:val="NoSpacing"/>
        <w:rPr>
          <w:sz w:val="24"/>
          <w:szCs w:val="24"/>
        </w:rPr>
      </w:pPr>
    </w:p>
    <w:p w14:paraId="2F70DE3D" w14:textId="77777777" w:rsidR="00575DC8" w:rsidRPr="00583B22" w:rsidRDefault="00575DC8" w:rsidP="00575DC8">
      <w:pPr>
        <w:rPr>
          <w:rFonts w:ascii="Calibri" w:hAnsi="Calibri" w:cs="Calibri"/>
          <w:b/>
          <w:color w:val="0070C0"/>
          <w:sz w:val="24"/>
          <w:szCs w:val="24"/>
        </w:rPr>
      </w:pPr>
    </w:p>
    <w:sectPr w:rsidR="00575DC8" w:rsidRPr="00583B22" w:rsidSect="00331461">
      <w:headerReference w:type="default" r:id="rId17"/>
      <w:footerReference w:type="default" r:id="rId1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4971BD" w14:textId="77777777" w:rsidR="000C45AD" w:rsidRDefault="000C45AD" w:rsidP="00350565">
      <w:r>
        <w:separator/>
      </w:r>
    </w:p>
  </w:endnote>
  <w:endnote w:type="continuationSeparator" w:id="0">
    <w:p w14:paraId="11F5244F" w14:textId="77777777" w:rsidR="000C45AD" w:rsidRDefault="000C45AD" w:rsidP="003505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49514403"/>
      <w:docPartObj>
        <w:docPartGallery w:val="Page Numbers (Bottom of Page)"/>
        <w:docPartUnique/>
      </w:docPartObj>
    </w:sdtPr>
    <w:sdtEndPr>
      <w:rPr>
        <w:noProof/>
      </w:rPr>
    </w:sdtEndPr>
    <w:sdtContent>
      <w:p w14:paraId="0640EF00" w14:textId="7C3870CD" w:rsidR="00331461" w:rsidRDefault="00331461">
        <w:pPr>
          <w:pStyle w:val="Footer"/>
          <w:jc w:val="right"/>
        </w:pPr>
        <w:r>
          <w:fldChar w:fldCharType="begin"/>
        </w:r>
        <w:r>
          <w:instrText xml:space="preserve"> PAGE   \* MERGEFORMAT </w:instrText>
        </w:r>
        <w:r>
          <w:fldChar w:fldCharType="separate"/>
        </w:r>
        <w:r w:rsidR="00DD6F4D">
          <w:rPr>
            <w:noProof/>
          </w:rPr>
          <w:t>4</w:t>
        </w:r>
        <w:r>
          <w:rPr>
            <w:noProof/>
          </w:rPr>
          <w:fldChar w:fldCharType="end"/>
        </w:r>
      </w:p>
    </w:sdtContent>
  </w:sdt>
  <w:p w14:paraId="31A2254E" w14:textId="77777777" w:rsidR="00331461" w:rsidRDefault="003314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3D865A" w14:textId="77777777" w:rsidR="000C45AD" w:rsidRDefault="000C45AD" w:rsidP="00350565">
      <w:r>
        <w:separator/>
      </w:r>
    </w:p>
  </w:footnote>
  <w:footnote w:type="continuationSeparator" w:id="0">
    <w:p w14:paraId="4456FD17" w14:textId="77777777" w:rsidR="000C45AD" w:rsidRDefault="000C45AD" w:rsidP="003505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BCF692" w14:textId="77777777" w:rsidR="00325FB4" w:rsidRPr="00325FB4" w:rsidRDefault="00325FB4" w:rsidP="00325FB4">
    <w:pPr>
      <w:rPr>
        <w:rFonts w:eastAsia="Arial"/>
      </w:rPr>
    </w:pPr>
  </w:p>
  <w:p w14:paraId="236833AE" w14:textId="77777777" w:rsidR="00325FB4" w:rsidRPr="00325FB4" w:rsidRDefault="00325FB4" w:rsidP="00325FB4">
    <w:pPr>
      <w:rPr>
        <w:rFonts w:eastAsia="Arial"/>
      </w:rPr>
    </w:pPr>
  </w:p>
  <w:p w14:paraId="3AAFAC04" w14:textId="77777777" w:rsidR="00325FB4" w:rsidRDefault="00325F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915CC8"/>
    <w:multiLevelType w:val="singleLevel"/>
    <w:tmpl w:val="0A5CBBAA"/>
    <w:lvl w:ilvl="0">
      <w:start w:val="1"/>
      <w:numFmt w:val="bullet"/>
      <w:pStyle w:val="ListBulleted1"/>
      <w:lvlText w:val=""/>
      <w:lvlJc w:val="left"/>
      <w:pPr>
        <w:tabs>
          <w:tab w:val="num" w:pos="360"/>
        </w:tabs>
        <w:ind w:left="360" w:hanging="360"/>
      </w:pPr>
      <w:rPr>
        <w:rFonts w:ascii="Symbol" w:hAnsi="Symbol" w:hint="default"/>
        <w:sz w:val="16"/>
        <w:szCs w:val="16"/>
      </w:rPr>
    </w:lvl>
  </w:abstractNum>
  <w:abstractNum w:abstractNumId="1" w15:restartNumberingAfterBreak="0">
    <w:nsid w:val="08AF5FC8"/>
    <w:multiLevelType w:val="hybridMultilevel"/>
    <w:tmpl w:val="946EB650"/>
    <w:lvl w:ilvl="0" w:tplc="D45A2CF4">
      <w:start w:val="1"/>
      <w:numFmt w:val="decimal"/>
      <w:lvlText w:val="A.%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E52479"/>
    <w:multiLevelType w:val="hybridMultilevel"/>
    <w:tmpl w:val="82628942"/>
    <w:lvl w:ilvl="0" w:tplc="7E70195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E53346F"/>
    <w:multiLevelType w:val="hybridMultilevel"/>
    <w:tmpl w:val="7DFE1EDE"/>
    <w:lvl w:ilvl="0" w:tplc="8C760D6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D80222"/>
    <w:multiLevelType w:val="hybridMultilevel"/>
    <w:tmpl w:val="6C0212FE"/>
    <w:lvl w:ilvl="0" w:tplc="95B48ED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4873E7E"/>
    <w:multiLevelType w:val="hybridMultilevel"/>
    <w:tmpl w:val="A80C7610"/>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645071F"/>
    <w:multiLevelType w:val="hybridMultilevel"/>
    <w:tmpl w:val="8B98D45A"/>
    <w:lvl w:ilvl="0" w:tplc="9F4A4538">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B664931"/>
    <w:multiLevelType w:val="hybridMultilevel"/>
    <w:tmpl w:val="5EBE2494"/>
    <w:lvl w:ilvl="0" w:tplc="9F4A453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35A6EE8"/>
    <w:multiLevelType w:val="hybridMultilevel"/>
    <w:tmpl w:val="DEF031D4"/>
    <w:lvl w:ilvl="0" w:tplc="4748FA8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5543D74"/>
    <w:multiLevelType w:val="hybridMultilevel"/>
    <w:tmpl w:val="35CA11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EA109BF"/>
    <w:multiLevelType w:val="hybridMultilevel"/>
    <w:tmpl w:val="48CAC668"/>
    <w:lvl w:ilvl="0" w:tplc="0504C31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34F9026B"/>
    <w:multiLevelType w:val="hybridMultilevel"/>
    <w:tmpl w:val="F188B4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B974D9D"/>
    <w:multiLevelType w:val="hybridMultilevel"/>
    <w:tmpl w:val="7EDEA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CD0656"/>
    <w:multiLevelType w:val="hybridMultilevel"/>
    <w:tmpl w:val="A3207776"/>
    <w:lvl w:ilvl="0" w:tplc="9F4A4538">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416D4729"/>
    <w:multiLevelType w:val="hybridMultilevel"/>
    <w:tmpl w:val="82628942"/>
    <w:lvl w:ilvl="0" w:tplc="7E70195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44EF385F"/>
    <w:multiLevelType w:val="singleLevel"/>
    <w:tmpl w:val="CB6A2A84"/>
    <w:lvl w:ilvl="0">
      <w:start w:val="1"/>
      <w:numFmt w:val="decimal"/>
      <w:lvlRestart w:val="0"/>
      <w:pStyle w:val="ListNumbered1"/>
      <w:lvlText w:val="%1."/>
      <w:lvlJc w:val="left"/>
      <w:pPr>
        <w:ind w:left="432" w:hanging="432"/>
      </w:pPr>
      <w:rPr>
        <w:rFonts w:hint="default"/>
        <w:i w:val="0"/>
      </w:rPr>
    </w:lvl>
  </w:abstractNum>
  <w:abstractNum w:abstractNumId="16" w15:restartNumberingAfterBreak="0">
    <w:nsid w:val="4C854396"/>
    <w:multiLevelType w:val="hybridMultilevel"/>
    <w:tmpl w:val="904C3E4C"/>
    <w:lvl w:ilvl="0" w:tplc="94E46F2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4D9106DB"/>
    <w:multiLevelType w:val="hybridMultilevel"/>
    <w:tmpl w:val="BB10F24A"/>
    <w:lvl w:ilvl="0" w:tplc="9F4A453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F261BB0"/>
    <w:multiLevelType w:val="hybridMultilevel"/>
    <w:tmpl w:val="021C6C3C"/>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2125460"/>
    <w:multiLevelType w:val="hybridMultilevel"/>
    <w:tmpl w:val="29BA426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15:restartNumberingAfterBreak="0">
    <w:nsid w:val="56D868D9"/>
    <w:multiLevelType w:val="hybridMultilevel"/>
    <w:tmpl w:val="E7ECF48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5C4212C5"/>
    <w:multiLevelType w:val="hybridMultilevel"/>
    <w:tmpl w:val="EB408D44"/>
    <w:lvl w:ilvl="0" w:tplc="61D48A6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D066998"/>
    <w:multiLevelType w:val="hybridMultilevel"/>
    <w:tmpl w:val="5844C38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D345E4E"/>
    <w:multiLevelType w:val="hybridMultilevel"/>
    <w:tmpl w:val="6016ACF0"/>
    <w:lvl w:ilvl="0" w:tplc="8C760D6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829324C"/>
    <w:multiLevelType w:val="hybridMultilevel"/>
    <w:tmpl w:val="B53C717A"/>
    <w:lvl w:ilvl="0" w:tplc="D45A2CF4">
      <w:start w:val="1"/>
      <w:numFmt w:val="decimal"/>
      <w:lvlText w:val="A.%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B7072C7"/>
    <w:multiLevelType w:val="hybridMultilevel"/>
    <w:tmpl w:val="29BA426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6D1F1380"/>
    <w:multiLevelType w:val="hybridMultilevel"/>
    <w:tmpl w:val="66A2C43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15:restartNumberingAfterBreak="0">
    <w:nsid w:val="6F240039"/>
    <w:multiLevelType w:val="hybridMultilevel"/>
    <w:tmpl w:val="641AD2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2D52F3B"/>
    <w:multiLevelType w:val="hybridMultilevel"/>
    <w:tmpl w:val="4958387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74C869F0"/>
    <w:multiLevelType w:val="hybridMultilevel"/>
    <w:tmpl w:val="43EC4408"/>
    <w:lvl w:ilvl="0" w:tplc="159C6AC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7EEB4EAB"/>
    <w:multiLevelType w:val="hybridMultilevel"/>
    <w:tmpl w:val="68CA6A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1"/>
  </w:num>
  <w:num w:numId="3">
    <w:abstractNumId w:val="27"/>
  </w:num>
  <w:num w:numId="4">
    <w:abstractNumId w:val="22"/>
  </w:num>
  <w:num w:numId="5">
    <w:abstractNumId w:val="30"/>
  </w:num>
  <w:num w:numId="6">
    <w:abstractNumId w:val="3"/>
  </w:num>
  <w:num w:numId="7">
    <w:abstractNumId w:val="23"/>
  </w:num>
  <w:num w:numId="8">
    <w:abstractNumId w:val="9"/>
  </w:num>
  <w:num w:numId="9">
    <w:abstractNumId w:val="18"/>
  </w:num>
  <w:num w:numId="10">
    <w:abstractNumId w:val="6"/>
  </w:num>
  <w:num w:numId="11">
    <w:abstractNumId w:val="7"/>
  </w:num>
  <w:num w:numId="12">
    <w:abstractNumId w:val="8"/>
  </w:num>
  <w:num w:numId="13">
    <w:abstractNumId w:val="13"/>
  </w:num>
  <w:num w:numId="14">
    <w:abstractNumId w:val="21"/>
  </w:num>
  <w:num w:numId="15">
    <w:abstractNumId w:val="4"/>
  </w:num>
  <w:num w:numId="16">
    <w:abstractNumId w:val="10"/>
  </w:num>
  <w:num w:numId="17">
    <w:abstractNumId w:val="29"/>
  </w:num>
  <w:num w:numId="18">
    <w:abstractNumId w:val="16"/>
  </w:num>
  <w:num w:numId="19">
    <w:abstractNumId w:val="2"/>
  </w:num>
  <w:num w:numId="20">
    <w:abstractNumId w:val="14"/>
  </w:num>
  <w:num w:numId="21">
    <w:abstractNumId w:val="24"/>
  </w:num>
  <w:num w:numId="22">
    <w:abstractNumId w:val="1"/>
  </w:num>
  <w:num w:numId="23">
    <w:abstractNumId w:val="20"/>
  </w:num>
  <w:num w:numId="24">
    <w:abstractNumId w:val="26"/>
  </w:num>
  <w:num w:numId="25">
    <w:abstractNumId w:val="5"/>
  </w:num>
  <w:num w:numId="26">
    <w:abstractNumId w:val="19"/>
  </w:num>
  <w:num w:numId="27">
    <w:abstractNumId w:val="25"/>
  </w:num>
  <w:num w:numId="28">
    <w:abstractNumId w:val="17"/>
  </w:num>
  <w:num w:numId="29">
    <w:abstractNumId w:val="28"/>
  </w:num>
  <w:num w:numId="30">
    <w:abstractNumId w:val="0"/>
  </w:num>
  <w:num w:numId="31">
    <w:abstractNumId w:val="15"/>
  </w:num>
  <w:num w:numId="32">
    <w:abstractNumId w:val="15"/>
    <w:lvlOverride w:ilvl="0">
      <w:startOverride w:val="1"/>
    </w:lvlOverride>
  </w:num>
  <w:num w:numId="33">
    <w:abstractNumId w:val="15"/>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5546"/>
    <w:rsid w:val="00001078"/>
    <w:rsid w:val="0000571E"/>
    <w:rsid w:val="00071A1B"/>
    <w:rsid w:val="000944AE"/>
    <w:rsid w:val="00095BD6"/>
    <w:rsid w:val="000B29D2"/>
    <w:rsid w:val="000C45AD"/>
    <w:rsid w:val="000C4D53"/>
    <w:rsid w:val="000D25E0"/>
    <w:rsid w:val="000E393A"/>
    <w:rsid w:val="00116A27"/>
    <w:rsid w:val="001229BE"/>
    <w:rsid w:val="00125729"/>
    <w:rsid w:val="001433A4"/>
    <w:rsid w:val="00185362"/>
    <w:rsid w:val="001A1F95"/>
    <w:rsid w:val="001B7424"/>
    <w:rsid w:val="001D5C77"/>
    <w:rsid w:val="002033EC"/>
    <w:rsid w:val="00205FDB"/>
    <w:rsid w:val="00206667"/>
    <w:rsid w:val="00227F58"/>
    <w:rsid w:val="0025346B"/>
    <w:rsid w:val="0029060D"/>
    <w:rsid w:val="002B7157"/>
    <w:rsid w:val="002C327A"/>
    <w:rsid w:val="002C4811"/>
    <w:rsid w:val="002E2EBF"/>
    <w:rsid w:val="002F065E"/>
    <w:rsid w:val="00302C43"/>
    <w:rsid w:val="00325FB4"/>
    <w:rsid w:val="00331461"/>
    <w:rsid w:val="00350565"/>
    <w:rsid w:val="0035429C"/>
    <w:rsid w:val="00383A15"/>
    <w:rsid w:val="003B3504"/>
    <w:rsid w:val="003D147E"/>
    <w:rsid w:val="003D5D3A"/>
    <w:rsid w:val="003F467F"/>
    <w:rsid w:val="00421E1B"/>
    <w:rsid w:val="00435E5F"/>
    <w:rsid w:val="00447F01"/>
    <w:rsid w:val="0047667A"/>
    <w:rsid w:val="00487D49"/>
    <w:rsid w:val="004F55F8"/>
    <w:rsid w:val="00505CCF"/>
    <w:rsid w:val="00510F13"/>
    <w:rsid w:val="00513FDA"/>
    <w:rsid w:val="0051535B"/>
    <w:rsid w:val="00541456"/>
    <w:rsid w:val="00550D22"/>
    <w:rsid w:val="00561ACB"/>
    <w:rsid w:val="00566F86"/>
    <w:rsid w:val="0057224E"/>
    <w:rsid w:val="00575DC8"/>
    <w:rsid w:val="00583B22"/>
    <w:rsid w:val="005965C4"/>
    <w:rsid w:val="005C7AEE"/>
    <w:rsid w:val="005E1D97"/>
    <w:rsid w:val="005F2216"/>
    <w:rsid w:val="006006D2"/>
    <w:rsid w:val="00617F72"/>
    <w:rsid w:val="00640F7E"/>
    <w:rsid w:val="006629DE"/>
    <w:rsid w:val="006D461D"/>
    <w:rsid w:val="00725148"/>
    <w:rsid w:val="00726710"/>
    <w:rsid w:val="007627ED"/>
    <w:rsid w:val="00764B7F"/>
    <w:rsid w:val="00776CD6"/>
    <w:rsid w:val="0077762D"/>
    <w:rsid w:val="007A2C66"/>
    <w:rsid w:val="007E0B8F"/>
    <w:rsid w:val="007E7882"/>
    <w:rsid w:val="007F68B8"/>
    <w:rsid w:val="008201C7"/>
    <w:rsid w:val="00826F2A"/>
    <w:rsid w:val="00843955"/>
    <w:rsid w:val="00847FB9"/>
    <w:rsid w:val="00855E9C"/>
    <w:rsid w:val="00877A51"/>
    <w:rsid w:val="008C130D"/>
    <w:rsid w:val="008E4425"/>
    <w:rsid w:val="00926569"/>
    <w:rsid w:val="0093157F"/>
    <w:rsid w:val="00954D27"/>
    <w:rsid w:val="00966821"/>
    <w:rsid w:val="00994D5C"/>
    <w:rsid w:val="009A2C22"/>
    <w:rsid w:val="009F176B"/>
    <w:rsid w:val="00A14D5C"/>
    <w:rsid w:val="00A315BC"/>
    <w:rsid w:val="00A56071"/>
    <w:rsid w:val="00A6150B"/>
    <w:rsid w:val="00A77A5C"/>
    <w:rsid w:val="00A83531"/>
    <w:rsid w:val="00A9595C"/>
    <w:rsid w:val="00AD6CCA"/>
    <w:rsid w:val="00AE0C53"/>
    <w:rsid w:val="00AE1A17"/>
    <w:rsid w:val="00B009D3"/>
    <w:rsid w:val="00B017CB"/>
    <w:rsid w:val="00B72052"/>
    <w:rsid w:val="00B7360A"/>
    <w:rsid w:val="00B7466E"/>
    <w:rsid w:val="00B77A86"/>
    <w:rsid w:val="00BC11BD"/>
    <w:rsid w:val="00BC4A5F"/>
    <w:rsid w:val="00BE5546"/>
    <w:rsid w:val="00C17552"/>
    <w:rsid w:val="00C3135C"/>
    <w:rsid w:val="00C32966"/>
    <w:rsid w:val="00C41449"/>
    <w:rsid w:val="00C56261"/>
    <w:rsid w:val="00C74353"/>
    <w:rsid w:val="00C9497E"/>
    <w:rsid w:val="00CB1F01"/>
    <w:rsid w:val="00CC301E"/>
    <w:rsid w:val="00CE4791"/>
    <w:rsid w:val="00D26CED"/>
    <w:rsid w:val="00D35ECE"/>
    <w:rsid w:val="00D606C5"/>
    <w:rsid w:val="00D65A0C"/>
    <w:rsid w:val="00D701FD"/>
    <w:rsid w:val="00D724DF"/>
    <w:rsid w:val="00D7262A"/>
    <w:rsid w:val="00D77DA7"/>
    <w:rsid w:val="00D82BA3"/>
    <w:rsid w:val="00DA1C10"/>
    <w:rsid w:val="00DB6033"/>
    <w:rsid w:val="00DD6F4D"/>
    <w:rsid w:val="00DE2588"/>
    <w:rsid w:val="00DE7C18"/>
    <w:rsid w:val="00E0649D"/>
    <w:rsid w:val="00E1505E"/>
    <w:rsid w:val="00E16E21"/>
    <w:rsid w:val="00E24714"/>
    <w:rsid w:val="00E45D16"/>
    <w:rsid w:val="00E50814"/>
    <w:rsid w:val="00E8339C"/>
    <w:rsid w:val="00E85C79"/>
    <w:rsid w:val="00EA01EA"/>
    <w:rsid w:val="00EA1359"/>
    <w:rsid w:val="00EA242A"/>
    <w:rsid w:val="00EB148D"/>
    <w:rsid w:val="00EB16B9"/>
    <w:rsid w:val="00EB52B6"/>
    <w:rsid w:val="00EB5928"/>
    <w:rsid w:val="00F03020"/>
    <w:rsid w:val="00F25CAF"/>
    <w:rsid w:val="00F80CBA"/>
    <w:rsid w:val="00FB4CCA"/>
    <w:rsid w:val="00FF21C4"/>
    <w:rsid w:val="00FF27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3574AE"/>
  <w15:chartTrackingRefBased/>
  <w15:docId w15:val="{99B4C396-8B4F-4BA7-B92A-AEC7EA920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29BE"/>
    <w:pPr>
      <w:spacing w:after="0" w:line="240" w:lineRule="auto"/>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BE554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BE554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575DC8"/>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BE5546"/>
    <w:rPr>
      <w:color w:val="0000FF"/>
      <w:u w:val="single"/>
    </w:rPr>
  </w:style>
  <w:style w:type="paragraph" w:customStyle="1" w:styleId="MediumGrid1-Accent21">
    <w:name w:val="Medium Grid 1 - Accent 21"/>
    <w:basedOn w:val="Normal"/>
    <w:rsid w:val="00BE5546"/>
    <w:pPr>
      <w:suppressAutoHyphens/>
      <w:spacing w:after="200" w:line="276" w:lineRule="auto"/>
      <w:ind w:left="720"/>
    </w:pPr>
    <w:rPr>
      <w:rFonts w:ascii="Calibri" w:eastAsia="Calibri" w:hAnsi="Calibri"/>
      <w:sz w:val="22"/>
      <w:szCs w:val="22"/>
      <w:lang w:eastAsia="ar-SA"/>
    </w:rPr>
  </w:style>
  <w:style w:type="paragraph" w:styleId="ListParagraph">
    <w:name w:val="List Paragraph"/>
    <w:basedOn w:val="Normal"/>
    <w:uiPriority w:val="34"/>
    <w:qFormat/>
    <w:rsid w:val="00BE5546"/>
    <w:pPr>
      <w:ind w:left="720"/>
      <w:contextualSpacing/>
    </w:pPr>
  </w:style>
  <w:style w:type="paragraph" w:styleId="IntenseQuote">
    <w:name w:val="Intense Quote"/>
    <w:basedOn w:val="Normal"/>
    <w:next w:val="Normal"/>
    <w:link w:val="IntenseQuoteChar"/>
    <w:uiPriority w:val="30"/>
    <w:qFormat/>
    <w:rsid w:val="00BE554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BE5546"/>
    <w:rPr>
      <w:rFonts w:ascii="Times New Roman" w:eastAsia="Times New Roman" w:hAnsi="Times New Roman" w:cs="Times New Roman"/>
      <w:i/>
      <w:iCs/>
      <w:color w:val="5B9BD5" w:themeColor="accent1"/>
      <w:sz w:val="20"/>
      <w:szCs w:val="20"/>
    </w:rPr>
  </w:style>
  <w:style w:type="character" w:customStyle="1" w:styleId="Heading1Char">
    <w:name w:val="Heading 1 Char"/>
    <w:basedOn w:val="DefaultParagraphFont"/>
    <w:link w:val="Heading1"/>
    <w:uiPriority w:val="9"/>
    <w:rsid w:val="00BE5546"/>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BE5546"/>
    <w:rPr>
      <w:rFonts w:asciiTheme="majorHAnsi" w:eastAsiaTheme="majorEastAsia" w:hAnsiTheme="majorHAnsi" w:cstheme="majorBidi"/>
      <w:color w:val="2E74B5" w:themeColor="accent1" w:themeShade="BF"/>
      <w:sz w:val="26"/>
      <w:szCs w:val="26"/>
    </w:rPr>
  </w:style>
  <w:style w:type="character" w:styleId="FollowedHyperlink">
    <w:name w:val="FollowedHyperlink"/>
    <w:basedOn w:val="DefaultParagraphFont"/>
    <w:uiPriority w:val="99"/>
    <w:semiHidden/>
    <w:unhideWhenUsed/>
    <w:rsid w:val="006629DE"/>
    <w:rPr>
      <w:color w:val="954F72" w:themeColor="followedHyperlink"/>
      <w:u w:val="single"/>
    </w:rPr>
  </w:style>
  <w:style w:type="paragraph" w:styleId="FootnoteText">
    <w:name w:val="footnote text"/>
    <w:basedOn w:val="Normal"/>
    <w:link w:val="FootnoteTextChar"/>
    <w:semiHidden/>
    <w:unhideWhenUsed/>
    <w:rsid w:val="00350565"/>
  </w:style>
  <w:style w:type="character" w:customStyle="1" w:styleId="FootnoteTextChar">
    <w:name w:val="Footnote Text Char"/>
    <w:basedOn w:val="DefaultParagraphFont"/>
    <w:link w:val="FootnoteText"/>
    <w:semiHidden/>
    <w:rsid w:val="00350565"/>
    <w:rPr>
      <w:rFonts w:ascii="Times New Roman" w:eastAsia="Times New Roman" w:hAnsi="Times New Roman" w:cs="Times New Roman"/>
      <w:sz w:val="20"/>
      <w:szCs w:val="20"/>
    </w:rPr>
  </w:style>
  <w:style w:type="character" w:styleId="FootnoteReference">
    <w:name w:val="footnote reference"/>
    <w:basedOn w:val="DefaultParagraphFont"/>
    <w:semiHidden/>
    <w:unhideWhenUsed/>
    <w:rsid w:val="00350565"/>
    <w:rPr>
      <w:vertAlign w:val="superscript"/>
    </w:rPr>
  </w:style>
  <w:style w:type="paragraph" w:styleId="Header">
    <w:name w:val="header"/>
    <w:basedOn w:val="Normal"/>
    <w:link w:val="HeaderChar"/>
    <w:uiPriority w:val="99"/>
    <w:unhideWhenUsed/>
    <w:rsid w:val="00325FB4"/>
    <w:pPr>
      <w:tabs>
        <w:tab w:val="center" w:pos="4680"/>
        <w:tab w:val="right" w:pos="9360"/>
      </w:tabs>
    </w:pPr>
  </w:style>
  <w:style w:type="character" w:customStyle="1" w:styleId="HeaderChar">
    <w:name w:val="Header Char"/>
    <w:basedOn w:val="DefaultParagraphFont"/>
    <w:link w:val="Header"/>
    <w:uiPriority w:val="99"/>
    <w:rsid w:val="00325FB4"/>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325FB4"/>
    <w:pPr>
      <w:tabs>
        <w:tab w:val="center" w:pos="4680"/>
        <w:tab w:val="right" w:pos="9360"/>
      </w:tabs>
    </w:pPr>
  </w:style>
  <w:style w:type="character" w:customStyle="1" w:styleId="FooterChar">
    <w:name w:val="Footer Char"/>
    <w:basedOn w:val="DefaultParagraphFont"/>
    <w:link w:val="Footer"/>
    <w:uiPriority w:val="99"/>
    <w:rsid w:val="00325FB4"/>
    <w:rPr>
      <w:rFonts w:ascii="Times New Roman" w:eastAsia="Times New Roman" w:hAnsi="Times New Roman" w:cs="Times New Roman"/>
      <w:sz w:val="20"/>
      <w:szCs w:val="20"/>
    </w:rPr>
  </w:style>
  <w:style w:type="character" w:customStyle="1" w:styleId="Heading3Char">
    <w:name w:val="Heading 3 Char"/>
    <w:basedOn w:val="DefaultParagraphFont"/>
    <w:link w:val="Heading3"/>
    <w:uiPriority w:val="9"/>
    <w:rsid w:val="00575DC8"/>
    <w:rPr>
      <w:rFonts w:asciiTheme="majorHAnsi" w:eastAsiaTheme="majorEastAsia" w:hAnsiTheme="majorHAnsi" w:cstheme="majorBidi"/>
      <w:color w:val="1F4D78" w:themeColor="accent1" w:themeShade="7F"/>
      <w:sz w:val="24"/>
      <w:szCs w:val="24"/>
    </w:rPr>
  </w:style>
  <w:style w:type="paragraph" w:styleId="NoSpacing">
    <w:name w:val="No Spacing"/>
    <w:uiPriority w:val="1"/>
    <w:qFormat/>
    <w:rsid w:val="006D461D"/>
    <w:pPr>
      <w:spacing w:after="0" w:line="240" w:lineRule="auto"/>
    </w:pPr>
    <w:rPr>
      <w:rFonts w:ascii="Times New Roman" w:eastAsia="Times New Roman" w:hAnsi="Times New Roman" w:cs="Times New Roman"/>
      <w:sz w:val="20"/>
      <w:szCs w:val="20"/>
    </w:rPr>
  </w:style>
  <w:style w:type="character" w:customStyle="1" w:styleId="UnresolvedMention1">
    <w:name w:val="Unresolved Mention1"/>
    <w:basedOn w:val="DefaultParagraphFont"/>
    <w:uiPriority w:val="99"/>
    <w:semiHidden/>
    <w:unhideWhenUsed/>
    <w:rsid w:val="0035429C"/>
    <w:rPr>
      <w:color w:val="605E5C"/>
      <w:shd w:val="clear" w:color="auto" w:fill="E1DFDD"/>
    </w:rPr>
  </w:style>
  <w:style w:type="paragraph" w:customStyle="1" w:styleId="TitlePageBack-DistributionStatement">
    <w:name w:val="Title Page Back - Distribution Statement"/>
    <w:basedOn w:val="Normal"/>
    <w:next w:val="Normal"/>
    <w:semiHidden/>
    <w:rsid w:val="00C41449"/>
    <w:pPr>
      <w:spacing w:after="180" w:line="220" w:lineRule="atLeast"/>
    </w:pPr>
    <w:rPr>
      <w:rFonts w:ascii="Arial" w:hAnsi="Arial"/>
      <w:color w:val="000000" w:themeColor="text1"/>
      <w:kern w:val="20"/>
      <w:sz w:val="17"/>
      <w:szCs w:val="15"/>
    </w:rPr>
  </w:style>
  <w:style w:type="paragraph" w:customStyle="1" w:styleId="Body">
    <w:name w:val="Body"/>
    <w:qFormat/>
    <w:rsid w:val="008201C7"/>
    <w:pPr>
      <w:tabs>
        <w:tab w:val="left" w:pos="216"/>
      </w:tabs>
      <w:spacing w:before="180" w:after="180" w:line="280" w:lineRule="atLeast"/>
    </w:pPr>
    <w:rPr>
      <w:rFonts w:ascii="Times New Roman" w:eastAsia="Times New Roman" w:hAnsi="Times New Roman" w:cs="Times New Roman"/>
      <w:color w:val="000000"/>
      <w:kern w:val="22"/>
      <w:sz w:val="21"/>
      <w:szCs w:val="20"/>
    </w:rPr>
  </w:style>
  <w:style w:type="paragraph" w:customStyle="1" w:styleId="ListBulleted1">
    <w:name w:val="List Bulleted 1"/>
    <w:qFormat/>
    <w:rsid w:val="008201C7"/>
    <w:pPr>
      <w:numPr>
        <w:numId w:val="30"/>
      </w:numPr>
      <w:tabs>
        <w:tab w:val="left" w:pos="432"/>
      </w:tabs>
      <w:spacing w:before="60" w:after="20" w:line="280" w:lineRule="atLeast"/>
    </w:pPr>
    <w:rPr>
      <w:rFonts w:ascii="Times New Roman" w:eastAsia="Times New Roman" w:hAnsi="Times New Roman" w:cs="Times New Roman"/>
      <w:color w:val="000000" w:themeColor="text1"/>
      <w:kern w:val="22"/>
      <w:sz w:val="21"/>
      <w:szCs w:val="20"/>
    </w:rPr>
  </w:style>
  <w:style w:type="paragraph" w:customStyle="1" w:styleId="Heading3-nonum">
    <w:name w:val="Heading 3 - nonum"/>
    <w:basedOn w:val="Heading3"/>
    <w:next w:val="Body"/>
    <w:link w:val="Heading3-nonumChar"/>
    <w:qFormat/>
    <w:rsid w:val="008201C7"/>
    <w:pPr>
      <w:keepLines w:val="0"/>
      <w:tabs>
        <w:tab w:val="left" w:pos="1008"/>
      </w:tabs>
      <w:suppressAutoHyphens/>
      <w:spacing w:before="160" w:after="180" w:line="280" w:lineRule="atLeast"/>
    </w:pPr>
    <w:rPr>
      <w:rFonts w:ascii="Arial" w:eastAsia="Times New Roman" w:hAnsi="Arial" w:cs="Times New Roman"/>
      <w:b/>
      <w:color w:val="000000" w:themeColor="text1"/>
      <w:kern w:val="28"/>
      <w:sz w:val="21"/>
      <w:szCs w:val="20"/>
    </w:rPr>
  </w:style>
  <w:style w:type="character" w:customStyle="1" w:styleId="Heading3-nonumChar">
    <w:name w:val="Heading 3 - nonum Char"/>
    <w:basedOn w:val="Heading3Char"/>
    <w:link w:val="Heading3-nonum"/>
    <w:rsid w:val="008201C7"/>
    <w:rPr>
      <w:rFonts w:ascii="Arial" w:eastAsia="Times New Roman" w:hAnsi="Arial" w:cs="Times New Roman"/>
      <w:b/>
      <w:color w:val="000000" w:themeColor="text1"/>
      <w:kern w:val="28"/>
      <w:sz w:val="21"/>
      <w:szCs w:val="20"/>
    </w:rPr>
  </w:style>
  <w:style w:type="character" w:styleId="UnresolvedMention">
    <w:name w:val="Unresolved Mention"/>
    <w:basedOn w:val="DefaultParagraphFont"/>
    <w:uiPriority w:val="99"/>
    <w:semiHidden/>
    <w:unhideWhenUsed/>
    <w:rsid w:val="00541456"/>
    <w:rPr>
      <w:color w:val="605E5C"/>
      <w:shd w:val="clear" w:color="auto" w:fill="E1DFDD"/>
    </w:rPr>
  </w:style>
  <w:style w:type="paragraph" w:styleId="Caption">
    <w:name w:val="caption"/>
    <w:next w:val="Body"/>
    <w:qFormat/>
    <w:rsid w:val="00994D5C"/>
    <w:pPr>
      <w:tabs>
        <w:tab w:val="left" w:pos="864"/>
      </w:tabs>
      <w:spacing w:before="40" w:line="220" w:lineRule="atLeast"/>
      <w:ind w:left="864" w:hanging="864"/>
    </w:pPr>
    <w:rPr>
      <w:rFonts w:ascii="Arial" w:eastAsia="Times New Roman" w:hAnsi="Arial" w:cs="Times New Roman"/>
      <w:i/>
      <w:color w:val="000000"/>
      <w:kern w:val="22"/>
      <w:sz w:val="18"/>
      <w:szCs w:val="19"/>
    </w:rPr>
  </w:style>
  <w:style w:type="paragraph" w:customStyle="1" w:styleId="ListNumbered1">
    <w:name w:val="List Numbered 1"/>
    <w:basedOn w:val="Body"/>
    <w:qFormat/>
    <w:rsid w:val="002C327A"/>
    <w:pPr>
      <w:numPr>
        <w:numId w:val="31"/>
      </w:numPr>
      <w:tabs>
        <w:tab w:val="left" w:pos="432"/>
      </w:tabs>
      <w:spacing w:before="60" w:after="20"/>
    </w:pPr>
  </w:style>
  <w:style w:type="paragraph" w:customStyle="1" w:styleId="Heading2-nonum">
    <w:name w:val="Heading 2 - nonum"/>
    <w:basedOn w:val="Heading2"/>
    <w:next w:val="Body"/>
    <w:link w:val="Heading2-nonumChar"/>
    <w:qFormat/>
    <w:rsid w:val="002C327A"/>
    <w:pPr>
      <w:keepLines w:val="0"/>
      <w:tabs>
        <w:tab w:val="left" w:pos="720"/>
      </w:tabs>
      <w:suppressAutoHyphens/>
      <w:spacing w:before="240" w:after="180" w:line="280" w:lineRule="atLeast"/>
    </w:pPr>
    <w:rPr>
      <w:rFonts w:ascii="Arial" w:eastAsia="Times New Roman" w:hAnsi="Arial" w:cs="Times New Roman"/>
      <w:b/>
      <w:color w:val="000000" w:themeColor="text1"/>
      <w:kern w:val="32"/>
      <w:sz w:val="24"/>
      <w:szCs w:val="20"/>
    </w:rPr>
  </w:style>
  <w:style w:type="paragraph" w:customStyle="1" w:styleId="Heading1-Appendix">
    <w:name w:val="Heading 1 - Appendix"/>
    <w:basedOn w:val="Normal"/>
    <w:next w:val="Body"/>
    <w:link w:val="Heading1-AppendixChar"/>
    <w:qFormat/>
    <w:rsid w:val="002C327A"/>
    <w:pPr>
      <w:keepNext/>
      <w:pageBreakBefore/>
      <w:pBdr>
        <w:top w:val="single" w:sz="8" w:space="1" w:color="000000"/>
      </w:pBdr>
      <w:tabs>
        <w:tab w:val="left" w:pos="1800"/>
      </w:tabs>
      <w:suppressAutoHyphens/>
      <w:spacing w:after="700" w:line="340" w:lineRule="atLeast"/>
      <w:ind w:left="1800" w:hanging="1800"/>
      <w:outlineLvl w:val="0"/>
    </w:pPr>
    <w:rPr>
      <w:rFonts w:ascii="Arial" w:hAnsi="Arial"/>
      <w:b/>
      <w:kern w:val="40"/>
      <w:sz w:val="28"/>
      <w:szCs w:val="28"/>
    </w:rPr>
  </w:style>
  <w:style w:type="character" w:customStyle="1" w:styleId="Heading1-AppendixChar">
    <w:name w:val="Heading 1 - Appendix Char"/>
    <w:basedOn w:val="DefaultParagraphFont"/>
    <w:link w:val="Heading1-Appendix"/>
    <w:rsid w:val="002C327A"/>
    <w:rPr>
      <w:rFonts w:ascii="Arial" w:eastAsia="Times New Roman" w:hAnsi="Arial" w:cs="Times New Roman"/>
      <w:b/>
      <w:kern w:val="40"/>
      <w:sz w:val="28"/>
      <w:szCs w:val="28"/>
    </w:rPr>
  </w:style>
  <w:style w:type="character" w:customStyle="1" w:styleId="Heading2-nonumChar">
    <w:name w:val="Heading 2 - nonum Char"/>
    <w:basedOn w:val="Heading2Char"/>
    <w:link w:val="Heading2-nonum"/>
    <w:rsid w:val="002C327A"/>
    <w:rPr>
      <w:rFonts w:ascii="Arial" w:eastAsia="Times New Roman" w:hAnsi="Arial" w:cs="Times New Roman"/>
      <w:b/>
      <w:color w:val="000000" w:themeColor="text1"/>
      <w:kern w:val="32"/>
      <w:sz w:val="24"/>
      <w:szCs w:val="20"/>
    </w:rPr>
  </w:style>
  <w:style w:type="paragraph" w:customStyle="1" w:styleId="FigureAnchor">
    <w:name w:val="Figure Anchor"/>
    <w:basedOn w:val="Body"/>
    <w:rsid w:val="002C327A"/>
    <w:pPr>
      <w:spacing w:before="60" w:after="0"/>
    </w:pPr>
  </w:style>
  <w:style w:type="paragraph" w:customStyle="1" w:styleId="Bib-Entry">
    <w:name w:val="Bib - Entry"/>
    <w:basedOn w:val="Body"/>
    <w:next w:val="Normal"/>
    <w:qFormat/>
    <w:rsid w:val="00DA1C10"/>
    <w:pPr>
      <w:spacing w:before="0" w:after="0" w:line="260" w:lineRule="atLeast"/>
    </w:pPr>
    <w:rPr>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64620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http://circep.ahajournals.org/content/circae/7/6/1237/F2.large.jpg?width=800&amp;height=600&amp;carousel=1"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insights.sei.cmu.edu/sei_blog/2016/11/cyber-threat-modeling-an-evaluation-of-three-methods.htm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resources.sei.cmu.edu/asset_files/TechnicalNote/2018_004_001_516627.pdf"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dx.doi.org/10.1016%2Fj.ihj.2013.11.00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0139E-A143-4534-B1C3-AD5F018E7A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2923</Words>
  <Characters>16664</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kohnkean@udmercy.edu</dc:creator>
  <cp:keywords/>
  <dc:description/>
  <cp:lastModifiedBy>Anne Kohnke</cp:lastModifiedBy>
  <cp:revision>2</cp:revision>
  <dcterms:created xsi:type="dcterms:W3CDTF">2021-04-08T11:07:00Z</dcterms:created>
  <dcterms:modified xsi:type="dcterms:W3CDTF">2021-04-08T11:07:00Z</dcterms:modified>
</cp:coreProperties>
</file>